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374015</wp:posOffset>
            </wp:positionH>
            <wp:positionV relativeFrom="page">
              <wp:posOffset>603250</wp:posOffset>
            </wp:positionV>
            <wp:extent cx="680656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5715"/>
                    </a:xfrm>
                    <a:prstGeom prst="rect">
                      <a:avLst/>
                    </a:prstGeom>
                    <a:noFill/>
                  </pic:spPr>
                </pic:pic>
              </a:graphicData>
            </a:graphic>
          </wp:anchor>
        </w:drawing>
        <w:drawing>
          <wp:anchor simplePos="0" relativeHeight="251657728" behindDoc="1" locked="0" layoutInCell="0" allowOverlap="1">
            <wp:simplePos x="0" y="0"/>
            <wp:positionH relativeFrom="page">
              <wp:posOffset>374015</wp:posOffset>
            </wp:positionH>
            <wp:positionV relativeFrom="page">
              <wp:posOffset>580390</wp:posOffset>
            </wp:positionV>
            <wp:extent cx="68065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571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1915160</wp:posOffset>
            </wp:positionH>
            <wp:positionV relativeFrom="paragraph">
              <wp:posOffset>36195</wp:posOffset>
            </wp:positionV>
            <wp:extent cx="333756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37560" cy="5715"/>
                    </a:xfrm>
                    <a:prstGeom prst="rect">
                      <a:avLst/>
                    </a:prstGeom>
                    <a:noFill/>
                  </pic:spPr>
                </pic:pic>
              </a:graphicData>
            </a:graphic>
          </wp:anchor>
        </w:drawing>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1915160</wp:posOffset>
            </wp:positionH>
            <wp:positionV relativeFrom="paragraph">
              <wp:posOffset>136525</wp:posOffset>
            </wp:positionV>
            <wp:extent cx="33375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37560" cy="5715"/>
                    </a:xfrm>
                    <a:prstGeom prst="rect">
                      <a:avLst/>
                    </a:prstGeom>
                    <a:noFill/>
                  </pic:spPr>
                </pic:pic>
              </a:graphicData>
            </a:graphic>
          </wp:anchor>
        </w:drawing>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Exchange Act of 1934</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April 28, 2021 (April 28,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1846580</wp:posOffset>
            </wp:positionH>
            <wp:positionV relativeFrom="paragraph">
              <wp:posOffset>23495</wp:posOffset>
            </wp:positionV>
            <wp:extent cx="347472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74720" cy="571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Humana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1858010</wp:posOffset>
            </wp:positionH>
            <wp:positionV relativeFrom="paragraph">
              <wp:posOffset>34925</wp:posOffset>
            </wp:positionV>
            <wp:extent cx="345757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57575" cy="5715"/>
                    </a:xfrm>
                    <a:prstGeom prst="rect">
                      <a:avLst/>
                    </a:prstGeom>
                    <a:noFill/>
                  </pic:spPr>
                </pic:pic>
              </a:graphicData>
            </a:graphic>
          </wp:anchor>
        </w:drawing>
      </w:r>
    </w:p>
    <w:p>
      <w:pPr>
        <w:spacing w:after="0" w:line="130" w:lineRule="exact"/>
        <w:rPr>
          <w:sz w:val="24"/>
          <w:szCs w:val="24"/>
          <w:color w:val="auto"/>
        </w:rPr>
      </w:pPr>
    </w:p>
    <w:tbl>
      <w:tblPr>
        <w:tblLayout w:type="fixed"/>
        <w:tblInd w:w="1380" w:type="dxa"/>
        <w:tblCellMar>
          <w:top w:w="0" w:type="dxa"/>
          <w:left w:w="0" w:type="dxa"/>
          <w:bottom w:w="0" w:type="dxa"/>
          <w:right w:w="0" w:type="dxa"/>
        </w:tblCellMar>
      </w:tblPr>
      <w:tr>
        <w:trPr>
          <w:trHeight w:val="151"/>
        </w:trPr>
        <w:tc>
          <w:tcPr>
            <w:tcW w:w="242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1"/>
              </w:rPr>
              <w:t>Delaware</w:t>
            </w:r>
          </w:p>
        </w:tc>
        <w:tc>
          <w:tcPr>
            <w:tcW w:w="3800" w:type="dxa"/>
            <w:vAlign w:val="bottom"/>
          </w:tcPr>
          <w:p>
            <w:pPr>
              <w:jc w:val="center"/>
              <w:ind w:right="87"/>
              <w:spacing w:after="0"/>
              <w:rPr>
                <w:sz w:val="20"/>
                <w:szCs w:val="20"/>
                <w:color w:val="auto"/>
              </w:rPr>
            </w:pPr>
            <w:r>
              <w:rPr>
                <w:rFonts w:ascii="Arial" w:cs="Arial" w:eastAsia="Arial" w:hAnsi="Arial"/>
                <w:sz w:val="12"/>
                <w:szCs w:val="12"/>
                <w:b w:val="1"/>
                <w:bCs w:val="1"/>
                <w:color w:val="auto"/>
                <w:w w:val="90"/>
              </w:rPr>
              <w:t>1-5975</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61-0647538</w:t>
            </w:r>
          </w:p>
        </w:tc>
      </w:tr>
      <w:tr>
        <w:trPr>
          <w:trHeight w:val="123"/>
        </w:trPr>
        <w:tc>
          <w:tcPr>
            <w:tcW w:w="2420" w:type="dxa"/>
            <w:vAlign w:val="bottom"/>
            <w:gridSpan w:val="2"/>
          </w:tcPr>
          <w:p>
            <w:pPr>
              <w:jc w:val="center"/>
              <w:ind w:right="600"/>
              <w:spacing w:after="0"/>
              <w:rPr>
                <w:sz w:val="20"/>
                <w:szCs w:val="20"/>
                <w:color w:val="auto"/>
              </w:rPr>
            </w:pPr>
            <w:r>
              <w:rPr>
                <w:rFonts w:ascii="Arial" w:cs="Arial" w:eastAsia="Arial" w:hAnsi="Arial"/>
                <w:sz w:val="10"/>
                <w:szCs w:val="10"/>
                <w:b w:val="1"/>
                <w:bCs w:val="1"/>
                <w:color w:val="auto"/>
                <w:w w:val="87"/>
              </w:rPr>
              <w:t>(State or other jurisdiction of incorporation)</w:t>
            </w:r>
          </w:p>
        </w:tc>
        <w:tc>
          <w:tcPr>
            <w:tcW w:w="3800" w:type="dxa"/>
            <w:vAlign w:val="bottom"/>
          </w:tcPr>
          <w:p>
            <w:pPr>
              <w:jc w:val="center"/>
              <w:ind w:right="67"/>
              <w:spacing w:after="0"/>
              <w:rPr>
                <w:sz w:val="20"/>
                <w:szCs w:val="20"/>
                <w:color w:val="auto"/>
              </w:rPr>
            </w:pPr>
            <w:r>
              <w:rPr>
                <w:rFonts w:ascii="Arial" w:cs="Arial" w:eastAsia="Arial" w:hAnsi="Arial"/>
                <w:sz w:val="10"/>
                <w:szCs w:val="10"/>
                <w:b w:val="1"/>
                <w:bCs w:val="1"/>
                <w:color w:val="auto"/>
                <w:w w:val="87"/>
              </w:rPr>
              <w:t>(Commission File Number)</w:t>
            </w:r>
          </w:p>
        </w:tc>
        <w:tc>
          <w:tcPr>
            <w:tcW w:w="2080" w:type="dxa"/>
            <w:vAlign w:val="bottom"/>
            <w:gridSpan w:val="2"/>
          </w:tcPr>
          <w:p>
            <w:pPr>
              <w:jc w:val="center"/>
              <w:ind w:left="626"/>
              <w:spacing w:after="0"/>
              <w:rPr>
                <w:sz w:val="20"/>
                <w:szCs w:val="20"/>
                <w:color w:val="auto"/>
              </w:rPr>
            </w:pPr>
            <w:r>
              <w:rPr>
                <w:rFonts w:ascii="Arial" w:cs="Arial" w:eastAsia="Arial" w:hAnsi="Arial"/>
                <w:sz w:val="10"/>
                <w:szCs w:val="10"/>
                <w:b w:val="1"/>
                <w:bCs w:val="1"/>
                <w:color w:val="auto"/>
                <w:w w:val="89"/>
              </w:rPr>
              <w:t>(IRS Employer Identification No.)</w:t>
            </w:r>
          </w:p>
        </w:tc>
      </w:tr>
      <w:tr>
        <w:trPr>
          <w:trHeight w:val="210"/>
        </w:trPr>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0" w:type="dxa"/>
            <w:vAlign w:val="bottom"/>
          </w:tcPr>
          <w:p>
            <w:pPr>
              <w:jc w:val="center"/>
              <w:ind w:right="67"/>
              <w:spacing w:after="0"/>
              <w:rPr>
                <w:sz w:val="20"/>
                <w:szCs w:val="20"/>
                <w:color w:val="auto"/>
              </w:rPr>
            </w:pPr>
            <w:r>
              <w:rPr>
                <w:rFonts w:ascii="Arial" w:cs="Arial" w:eastAsia="Arial" w:hAnsi="Arial"/>
                <w:sz w:val="12"/>
                <w:szCs w:val="12"/>
                <w:b w:val="1"/>
                <w:bCs w:val="1"/>
                <w:color w:val="auto"/>
                <w:w w:val="92"/>
              </w:rPr>
              <w:t>500 West Main Street Louisville, KY 40202</w:t>
            </w: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23"/>
        </w:trPr>
        <w:tc>
          <w:tcPr>
            <w:tcW w:w="1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0" w:type="dxa"/>
            <w:vAlign w:val="bottom"/>
          </w:tcPr>
          <w:p>
            <w:pPr>
              <w:jc w:val="center"/>
              <w:ind w:right="47"/>
              <w:spacing w:after="0"/>
              <w:rPr>
                <w:sz w:val="20"/>
                <w:szCs w:val="20"/>
                <w:color w:val="auto"/>
              </w:rPr>
            </w:pPr>
            <w:r>
              <w:rPr>
                <w:rFonts w:ascii="Arial" w:cs="Arial" w:eastAsia="Arial" w:hAnsi="Arial"/>
                <w:sz w:val="10"/>
                <w:szCs w:val="10"/>
                <w:b w:val="1"/>
                <w:bCs w:val="1"/>
                <w:color w:val="auto"/>
                <w:w w:val="85"/>
              </w:rPr>
              <w:t>(Address of principal executive offices, including zip code)</w:t>
            </w:r>
          </w:p>
        </w:tc>
        <w:tc>
          <w:tcPr>
            <w:tcW w:w="7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91"/>
        </w:trPr>
        <w:tc>
          <w:tcPr>
            <w:tcW w:w="1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0" w:type="dxa"/>
            <w:vAlign w:val="bottom"/>
          </w:tcPr>
          <w:p>
            <w:pPr>
              <w:jc w:val="center"/>
              <w:ind w:right="67"/>
              <w:spacing w:after="0"/>
              <w:rPr>
                <w:sz w:val="20"/>
                <w:szCs w:val="20"/>
                <w:color w:val="auto"/>
              </w:rPr>
            </w:pPr>
            <w:r>
              <w:rPr>
                <w:rFonts w:ascii="Arial" w:cs="Arial" w:eastAsia="Arial" w:hAnsi="Arial"/>
                <w:sz w:val="12"/>
                <w:szCs w:val="12"/>
                <w:b w:val="1"/>
                <w:bCs w:val="1"/>
                <w:color w:val="auto"/>
                <w:w w:val="90"/>
              </w:rPr>
              <w:t>502-580-1000</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23"/>
        </w:trPr>
        <w:tc>
          <w:tcPr>
            <w:tcW w:w="1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0" w:type="dxa"/>
            <w:vAlign w:val="bottom"/>
          </w:tcPr>
          <w:p>
            <w:pPr>
              <w:jc w:val="center"/>
              <w:ind w:right="67"/>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78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52"/>
        </w:trPr>
        <w:tc>
          <w:tcPr>
            <w:tcW w:w="1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0" w:type="dxa"/>
            <w:vAlign w:val="bottom"/>
          </w:tcPr>
          <w:p>
            <w:pPr>
              <w:jc w:val="center"/>
              <w:ind w:right="47"/>
              <w:spacing w:after="0"/>
              <w:rPr>
                <w:sz w:val="20"/>
                <w:szCs w:val="20"/>
                <w:color w:val="auto"/>
              </w:rPr>
            </w:pPr>
            <w:r>
              <w:rPr>
                <w:rFonts w:ascii="Arial" w:cs="Arial" w:eastAsia="Arial" w:hAnsi="Arial"/>
                <w:sz w:val="10"/>
                <w:szCs w:val="10"/>
                <w:b w:val="1"/>
                <w:bCs w:val="1"/>
                <w:color w:val="auto"/>
                <w:w w:val="86"/>
              </w:rPr>
              <w:t>(Former name or former address, if changed since last report)</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53"/>
        </w:trPr>
        <w:tc>
          <w:tcPr>
            <w:tcW w:w="15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bl>
    <w:p>
      <w:pPr>
        <w:spacing w:after="0" w:line="6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33" w:lineRule="exact"/>
        <w:rPr>
          <w:sz w:val="24"/>
          <w:szCs w:val="24"/>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05" w:lineRule="exact"/>
        <w:rPr>
          <w:rFonts w:ascii="MS PGothic" w:cs="MS PGothic" w:eastAsia="MS PGothic" w:hAnsi="MS PGothic"/>
          <w:sz w:val="12"/>
          <w:szCs w:val="12"/>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05" w:lineRule="exact"/>
        <w:rPr>
          <w:rFonts w:ascii="MS PGothic" w:cs="MS PGothic" w:eastAsia="MS PGothic" w:hAnsi="MS PGothic"/>
          <w:sz w:val="12"/>
          <w:szCs w:val="12"/>
          <w:color w:val="auto"/>
        </w:rPr>
      </w:pPr>
    </w:p>
    <w:p>
      <w:pPr>
        <w:ind w:left="420" w:hanging="416"/>
        <w:spacing w:after="0"/>
        <w:tabs>
          <w:tab w:leader="none" w:pos="4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05" w:lineRule="exact"/>
        <w:rPr>
          <w:rFonts w:ascii="MS PGothic" w:cs="MS PGothic" w:eastAsia="MS PGothic" w:hAnsi="MS PGothic"/>
          <w:sz w:val="12"/>
          <w:szCs w:val="12"/>
          <w:color w:val="auto"/>
        </w:rPr>
      </w:pPr>
    </w:p>
    <w:p>
      <w:pPr>
        <w:ind w:right="5520" w:firstLine="4"/>
        <w:spacing w:after="0" w:line="338" w:lineRule="auto"/>
        <w:tabs>
          <w:tab w:leader="none" w:pos="435"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86"/>
        </w:trPr>
        <w:tc>
          <w:tcPr>
            <w:tcW w:w="4260" w:type="dxa"/>
            <w:vAlign w:val="bottom"/>
            <w:tcBorders>
              <w:top w:val="single" w:sz="8" w:color="auto"/>
              <w:left w:val="single" w:sz="8" w:color="auto"/>
              <w:right w:val="single" w:sz="8" w:color="auto"/>
            </w:tcBorders>
            <w:gridSpan w:val="3"/>
          </w:tcPr>
          <w:p>
            <w:pPr>
              <w:jc w:val="center"/>
              <w:ind w:right="20"/>
              <w:spacing w:after="0" w:line="86" w:lineRule="exact"/>
              <w:rPr>
                <w:sz w:val="20"/>
                <w:szCs w:val="20"/>
                <w:color w:val="auto"/>
              </w:rPr>
            </w:pPr>
            <w:r>
              <w:rPr>
                <w:rFonts w:ascii="Arial" w:cs="Arial" w:eastAsia="Arial" w:hAnsi="Arial"/>
                <w:sz w:val="8"/>
                <w:szCs w:val="8"/>
                <w:b w:val="1"/>
                <w:bCs w:val="1"/>
                <w:color w:val="auto"/>
              </w:rPr>
              <w:t>Title of each class</w:t>
            </w:r>
          </w:p>
        </w:tc>
        <w:tc>
          <w:tcPr>
            <w:tcW w:w="1000" w:type="dxa"/>
            <w:vAlign w:val="bottom"/>
            <w:tcBorders>
              <w:top w:val="single" w:sz="8" w:color="auto"/>
            </w:tcBorders>
          </w:tcPr>
          <w:p>
            <w:pPr>
              <w:spacing w:after="0"/>
              <w:rPr>
                <w:sz w:val="7"/>
                <w:szCs w:val="7"/>
                <w:color w:val="auto"/>
              </w:rPr>
            </w:pPr>
          </w:p>
        </w:tc>
        <w:tc>
          <w:tcPr>
            <w:tcW w:w="1780" w:type="dxa"/>
            <w:vAlign w:val="bottom"/>
            <w:tcBorders>
              <w:top w:val="single" w:sz="8" w:color="auto"/>
              <w:right w:val="single" w:sz="8" w:color="auto"/>
            </w:tcBorders>
            <w:gridSpan w:val="2"/>
          </w:tcPr>
          <w:p>
            <w:pPr>
              <w:jc w:val="center"/>
              <w:ind w:right="1020"/>
              <w:spacing w:after="0" w:line="86" w:lineRule="exact"/>
              <w:rPr>
                <w:sz w:val="20"/>
                <w:szCs w:val="20"/>
                <w:color w:val="auto"/>
              </w:rPr>
            </w:pPr>
            <w:r>
              <w:rPr>
                <w:rFonts w:ascii="Arial" w:cs="Arial" w:eastAsia="Arial" w:hAnsi="Arial"/>
                <w:sz w:val="8"/>
                <w:szCs w:val="8"/>
                <w:b w:val="1"/>
                <w:bCs w:val="1"/>
                <w:color w:val="auto"/>
              </w:rPr>
              <w:t>Trading Symbol(s)</w:t>
            </w:r>
          </w:p>
        </w:tc>
        <w:tc>
          <w:tcPr>
            <w:tcW w:w="1220" w:type="dxa"/>
            <w:vAlign w:val="bottom"/>
            <w:tcBorders>
              <w:top w:val="single" w:sz="8" w:color="auto"/>
            </w:tcBorders>
          </w:tcPr>
          <w:p>
            <w:pPr>
              <w:spacing w:after="0"/>
              <w:rPr>
                <w:sz w:val="7"/>
                <w:szCs w:val="7"/>
                <w:color w:val="auto"/>
              </w:rPr>
            </w:pPr>
          </w:p>
        </w:tc>
        <w:tc>
          <w:tcPr>
            <w:tcW w:w="3040" w:type="dxa"/>
            <w:vAlign w:val="bottom"/>
            <w:tcBorders>
              <w:top w:val="single" w:sz="8" w:color="auto"/>
              <w:right w:val="single" w:sz="8" w:color="auto"/>
            </w:tcBorders>
            <w:gridSpan w:val="2"/>
          </w:tcPr>
          <w:p>
            <w:pPr>
              <w:jc w:val="center"/>
              <w:ind w:right="1260"/>
              <w:spacing w:after="0" w:line="86" w:lineRule="exact"/>
              <w:rPr>
                <w:sz w:val="20"/>
                <w:szCs w:val="20"/>
                <w:color w:val="auto"/>
              </w:rPr>
            </w:pPr>
            <w:r>
              <w:rPr>
                <w:rFonts w:ascii="Arial" w:cs="Arial" w:eastAsia="Arial" w:hAnsi="Arial"/>
                <w:sz w:val="8"/>
                <w:szCs w:val="8"/>
                <w:b w:val="1"/>
                <w:bCs w:val="1"/>
                <w:color w:val="auto"/>
              </w:rPr>
              <w:t>Name of each exchange on which registered</w:t>
            </w:r>
          </w:p>
        </w:tc>
      </w:tr>
      <w:tr>
        <w:trPr>
          <w:trHeight w:val="20"/>
        </w:trPr>
        <w:tc>
          <w:tcPr>
            <w:tcW w:w="1760" w:type="dxa"/>
            <w:vAlign w:val="bottom"/>
            <w:tcBorders>
              <w:left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138"/>
        </w:trPr>
        <w:tc>
          <w:tcPr>
            <w:tcW w:w="4260" w:type="dxa"/>
            <w:vAlign w:val="bottom"/>
            <w:tcBorders>
              <w:left w:val="single" w:sz="8" w:color="auto"/>
              <w:bottom w:val="single" w:sz="8" w:color="auto"/>
              <w:right w:val="single" w:sz="8" w:color="auto"/>
            </w:tcBorders>
            <w:gridSpan w:val="3"/>
          </w:tcPr>
          <w:p>
            <w:pPr>
              <w:jc w:val="center"/>
              <w:spacing w:after="0" w:line="138" w:lineRule="exact"/>
              <w:rPr>
                <w:sz w:val="20"/>
                <w:szCs w:val="20"/>
                <w:color w:val="auto"/>
              </w:rPr>
            </w:pPr>
            <w:r>
              <w:rPr>
                <w:rFonts w:ascii="Arial" w:cs="Arial" w:eastAsia="Arial" w:hAnsi="Arial"/>
                <w:sz w:val="13"/>
                <w:szCs w:val="13"/>
                <w:color w:val="auto"/>
                <w:w w:val="92"/>
              </w:rPr>
              <w:t>Common Stock</w:t>
            </w:r>
          </w:p>
        </w:tc>
        <w:tc>
          <w:tcPr>
            <w:tcW w:w="1000" w:type="dxa"/>
            <w:vAlign w:val="bottom"/>
            <w:tcBorders>
              <w:bottom w:val="single" w:sz="8" w:color="auto"/>
            </w:tcBorders>
          </w:tcPr>
          <w:p>
            <w:pPr>
              <w:spacing w:after="0"/>
              <w:rPr>
                <w:sz w:val="12"/>
                <w:szCs w:val="12"/>
                <w:color w:val="auto"/>
              </w:rPr>
            </w:pPr>
          </w:p>
        </w:tc>
        <w:tc>
          <w:tcPr>
            <w:tcW w:w="1780" w:type="dxa"/>
            <w:vAlign w:val="bottom"/>
            <w:tcBorders>
              <w:bottom w:val="single" w:sz="8" w:color="auto"/>
              <w:right w:val="single" w:sz="8" w:color="auto"/>
            </w:tcBorders>
            <w:gridSpan w:val="2"/>
          </w:tcPr>
          <w:p>
            <w:pPr>
              <w:jc w:val="center"/>
              <w:ind w:right="1020"/>
              <w:spacing w:after="0" w:line="138" w:lineRule="exact"/>
              <w:rPr>
                <w:sz w:val="20"/>
                <w:szCs w:val="20"/>
                <w:color w:val="auto"/>
              </w:rPr>
            </w:pPr>
            <w:r>
              <w:rPr>
                <w:rFonts w:ascii="Arial" w:cs="Arial" w:eastAsia="Arial" w:hAnsi="Arial"/>
                <w:sz w:val="13"/>
                <w:szCs w:val="13"/>
                <w:color w:val="auto"/>
              </w:rPr>
              <w:t>HUM</w:t>
            </w:r>
          </w:p>
        </w:tc>
        <w:tc>
          <w:tcPr>
            <w:tcW w:w="1220" w:type="dxa"/>
            <w:vAlign w:val="bottom"/>
            <w:tcBorders>
              <w:bottom w:val="single" w:sz="8" w:color="auto"/>
            </w:tcBorders>
          </w:tcPr>
          <w:p>
            <w:pPr>
              <w:spacing w:after="0"/>
              <w:rPr>
                <w:sz w:val="12"/>
                <w:szCs w:val="12"/>
                <w:color w:val="auto"/>
              </w:rPr>
            </w:pPr>
          </w:p>
        </w:tc>
        <w:tc>
          <w:tcPr>
            <w:tcW w:w="3040" w:type="dxa"/>
            <w:vAlign w:val="bottom"/>
            <w:tcBorders>
              <w:bottom w:val="single" w:sz="8" w:color="auto"/>
              <w:right w:val="single" w:sz="8" w:color="auto"/>
            </w:tcBorders>
            <w:gridSpan w:val="2"/>
          </w:tcPr>
          <w:p>
            <w:pPr>
              <w:jc w:val="center"/>
              <w:ind w:right="1240"/>
              <w:spacing w:after="0" w:line="138" w:lineRule="exact"/>
              <w:rPr>
                <w:sz w:val="20"/>
                <w:szCs w:val="20"/>
                <w:color w:val="auto"/>
              </w:rPr>
            </w:pPr>
            <w:r>
              <w:rPr>
                <w:rFonts w:ascii="Arial" w:cs="Arial" w:eastAsia="Arial" w:hAnsi="Arial"/>
                <w:sz w:val="13"/>
                <w:szCs w:val="13"/>
                <w:color w:val="auto"/>
                <w:w w:val="93"/>
              </w:rPr>
              <w:t>New York Stock Exchange</w:t>
            </w:r>
          </w:p>
        </w:tc>
      </w:tr>
    </w:tbl>
    <w:p>
      <w:pPr>
        <w:spacing w:after="0" w:line="63" w:lineRule="exact"/>
        <w:rPr>
          <w:sz w:val="24"/>
          <w:szCs w:val="24"/>
          <w:color w:val="auto"/>
        </w:rPr>
      </w:pPr>
    </w:p>
    <w:p>
      <w:pPr>
        <w:ind w:right="340"/>
        <w:spacing w:after="0" w:line="262" w:lineRule="auto"/>
        <w:rPr>
          <w:sz w:val="20"/>
          <w:szCs w:val="20"/>
          <w:color w:val="auto"/>
        </w:rPr>
      </w:pPr>
      <w:r>
        <w:rPr>
          <w:rFonts w:ascii="Arial" w:cs="Arial" w:eastAsia="Arial" w:hAnsi="Arial"/>
          <w:sz w:val="12"/>
          <w:szCs w:val="12"/>
          <w:color w:val="auto"/>
        </w:rPr>
        <w:t>Indicate by check mark whether the registrant is an emerging growth company as defined in as defined in Rule 405 of the Securities Act of 1933 (17 CFR §230.405) or Rule 12b-2 of the Securities Exchange Act of 1934 (17 CFR §240.12b-2).</w:t>
      </w: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00" w:lineRule="exact"/>
        <w:rPr>
          <w:sz w:val="24"/>
          <w:szCs w:val="24"/>
          <w:color w:val="auto"/>
        </w:rPr>
      </w:pPr>
    </w:p>
    <w:p>
      <w:pPr>
        <w:ind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50165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27305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12" w:right="299" w:bottom="1440" w:gutter="0" w:footer="0" w:header="0"/>
        </w:sectPr>
      </w:pPr>
    </w:p>
    <w:bookmarkStart w:id="1" w:name="page2"/>
    <w:bookmarkEnd w:id="1"/>
    <w:p>
      <w:pPr>
        <w:spacing w:after="0"/>
        <w:tabs>
          <w:tab w:leader="none" w:pos="580" w:val="left"/>
        </w:tabs>
        <w:rPr>
          <w:sz w:val="20"/>
          <w:szCs w:val="20"/>
          <w:color w:val="auto"/>
        </w:rPr>
      </w:pPr>
      <w:r>
        <w:rPr>
          <w:rFonts w:ascii="Arial" w:cs="Arial" w:eastAsia="Arial" w:hAnsi="Arial"/>
          <w:sz w:val="12"/>
          <w:szCs w:val="12"/>
          <w:b w:val="1"/>
          <w:bCs w:val="1"/>
          <w:color w:val="auto"/>
        </w:rPr>
        <w:t>Item 2.02</w:t>
      </w:r>
      <w:r>
        <w:rPr>
          <w:sz w:val="20"/>
          <w:szCs w:val="20"/>
          <w:color w:val="auto"/>
        </w:rPr>
        <w:tab/>
      </w:r>
      <w:r>
        <w:rPr>
          <w:rFonts w:ascii="Arial" w:cs="Arial" w:eastAsia="Arial" w:hAnsi="Arial"/>
          <w:sz w:val="10"/>
          <w:szCs w:val="10"/>
          <w:b w:val="1"/>
          <w:bCs w:val="1"/>
          <w:color w:val="auto"/>
        </w:rPr>
        <w:t>Results of Operations and Financial Condition.</w:t>
      </w:r>
    </w:p>
    <w:p>
      <w:pPr>
        <w:spacing w:after="0" w:line="150"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154" w:lineRule="exact"/>
        <w:rPr>
          <w:sz w:val="20"/>
          <w:szCs w:val="20"/>
          <w:color w:val="auto"/>
        </w:rPr>
      </w:pPr>
    </w:p>
    <w:p>
      <w:pPr>
        <w:ind w:right="40" w:firstLine="297"/>
        <w:spacing w:after="0" w:line="323" w:lineRule="auto"/>
        <w:rPr>
          <w:sz w:val="20"/>
          <w:szCs w:val="20"/>
          <w:color w:val="auto"/>
        </w:rPr>
      </w:pPr>
      <w:r>
        <w:rPr>
          <w:rFonts w:ascii="Arial" w:cs="Arial" w:eastAsia="Arial" w:hAnsi="Arial"/>
          <w:sz w:val="11"/>
          <w:szCs w:val="11"/>
          <w:color w:val="auto"/>
        </w:rPr>
        <w:t xml:space="preserve">Humana Inc. (the "Company") issued a press release this morning reporting financial results for the quarter ended March 31, 2021, and posted a detailed earnings release related to the same period to the Investor Relations portion of the Company’s website at </w:t>
      </w:r>
      <w:r>
        <w:rPr>
          <w:rFonts w:ascii="Arial" w:cs="Arial" w:eastAsia="Arial" w:hAnsi="Arial"/>
          <w:sz w:val="11"/>
          <w:szCs w:val="11"/>
          <w:u w:val="single" w:color="auto"/>
          <w:color w:val="auto"/>
        </w:rPr>
        <w:t>www.humana.com</w:t>
      </w:r>
      <w:r>
        <w:rPr>
          <w:rFonts w:ascii="Arial" w:cs="Arial" w:eastAsia="Arial" w:hAnsi="Arial"/>
          <w:sz w:val="11"/>
          <w:szCs w:val="11"/>
          <w:color w:val="auto"/>
        </w:rPr>
        <w:t>. A copy of each release is attached hereto as Exhibit 99.1 and Exhibit 99.2, respectively, and each release is incorporated herein by reference.</w:t>
      </w:r>
    </w:p>
    <w:p>
      <w:pPr>
        <w:spacing w:after="0" w:line="92" w:lineRule="exact"/>
        <w:rPr>
          <w:sz w:val="20"/>
          <w:szCs w:val="20"/>
          <w:color w:val="auto"/>
        </w:rPr>
      </w:pPr>
    </w:p>
    <w:p>
      <w:pPr>
        <w:ind w:right="100"/>
        <w:spacing w:after="0" w:line="276" w:lineRule="auto"/>
        <w:rPr>
          <w:sz w:val="20"/>
          <w:szCs w:val="20"/>
          <w:color w:val="auto"/>
        </w:rPr>
      </w:pPr>
      <w:r>
        <w:rPr>
          <w:rFonts w:ascii="Arial" w:cs="Arial" w:eastAsia="Arial" w:hAnsi="Arial"/>
          <w:sz w:val="12"/>
          <w:szCs w:val="12"/>
          <w:color w:val="auto"/>
        </w:rPr>
        <w:t>On April 27, 2021, Humana Inc. announced it has signed a definitive agreement to acquire the remaining 60 percent interest in Kindred at Home that it does not already own. A copy of Humana’s press release and related materials are being furnished as Exhibit 99.3 and Exhibit 99.4, respectively, to this Form 8-K.</w:t>
      </w:r>
    </w:p>
    <w:p>
      <w:pPr>
        <w:spacing w:after="0" w:line="111"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1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Exhibit No.</w:t>
            </w:r>
          </w:p>
        </w:tc>
        <w:tc>
          <w:tcPr>
            <w:tcW w:w="6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560" w:type="dxa"/>
            <w:vAlign w:val="bottom"/>
            <w:tcBorders>
              <w:bottom w:val="single" w:sz="8" w:color="auto"/>
            </w:tcBorders>
          </w:tcPr>
          <w:p>
            <w:pPr>
              <w:ind w:left="2100"/>
              <w:spacing w:after="0"/>
              <w:rPr>
                <w:sz w:val="20"/>
                <w:szCs w:val="20"/>
                <w:color w:val="auto"/>
              </w:rPr>
            </w:pPr>
            <w:r>
              <w:rPr>
                <w:rFonts w:ascii="Arial" w:cs="Arial" w:eastAsia="Arial" w:hAnsi="Arial"/>
                <w:sz w:val="10"/>
                <w:szCs w:val="10"/>
                <w:b w:val="1"/>
                <w:bCs w:val="1"/>
                <w:color w:val="auto"/>
              </w:rPr>
              <w:t>Description</w:t>
            </w:r>
          </w:p>
        </w:tc>
        <w:tc>
          <w:tcPr>
            <w:tcW w:w="40" w:type="dxa"/>
            <w:vAlign w:val="bottom"/>
          </w:tcPr>
          <w:p>
            <w:pPr>
              <w:spacing w:after="0"/>
              <w:rPr>
                <w:sz w:val="11"/>
                <w:szCs w:val="11"/>
                <w:color w:val="auto"/>
              </w:rPr>
            </w:pPr>
          </w:p>
        </w:tc>
      </w:tr>
      <w:tr>
        <w:trPr>
          <w:trHeight w:val="146"/>
        </w:trPr>
        <w:tc>
          <w:tcPr>
            <w:tcW w:w="1160" w:type="dxa"/>
            <w:vAlign w:val="bottom"/>
          </w:tcPr>
          <w:p>
            <w:pPr>
              <w:spacing w:after="0"/>
              <w:rPr>
                <w:sz w:val="20"/>
                <w:szCs w:val="20"/>
                <w:color w:val="auto"/>
              </w:rPr>
            </w:pPr>
            <w:r>
              <w:rPr>
                <w:rFonts w:ascii="Arial" w:cs="Arial" w:eastAsia="Arial" w:hAnsi="Arial"/>
                <w:sz w:val="12"/>
                <w:szCs w:val="12"/>
                <w:color w:val="auto"/>
              </w:rPr>
              <w:t>99.1</w:t>
            </w:r>
          </w:p>
        </w:tc>
        <w:tc>
          <w:tcPr>
            <w:tcW w:w="10140" w:type="dxa"/>
            <w:vAlign w:val="bottom"/>
            <w:gridSpan w:val="6"/>
          </w:tcPr>
          <w:p>
            <w:pPr>
              <w:spacing w:after="0"/>
              <w:rPr>
                <w:rFonts w:ascii="Arial" w:cs="Arial" w:eastAsia="Arial" w:hAnsi="Arial"/>
                <w:sz w:val="12"/>
                <w:szCs w:val="12"/>
                <w:color w:val="0000FF"/>
              </w:rPr>
            </w:pPr>
            <w:hyperlink w:anchor="page4">
              <w:r>
                <w:rPr>
                  <w:rFonts w:ascii="Arial" w:cs="Arial" w:eastAsia="Arial" w:hAnsi="Arial"/>
                  <w:sz w:val="12"/>
                  <w:szCs w:val="12"/>
                  <w:color w:val="0000FF"/>
                </w:rPr>
                <w:t>Press Release</w:t>
              </w:r>
            </w:hyperlink>
          </w:p>
        </w:tc>
      </w:tr>
      <w:tr>
        <w:trPr>
          <w:trHeight w:val="20"/>
        </w:trPr>
        <w:tc>
          <w:tcPr>
            <w:tcW w:w="1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2"/>
                <w:szCs w:val="12"/>
                <w:color w:val="auto"/>
              </w:rPr>
              <w:t>99.2</w:t>
            </w:r>
          </w:p>
        </w:tc>
        <w:tc>
          <w:tcPr>
            <w:tcW w:w="1860" w:type="dxa"/>
            <w:vAlign w:val="bottom"/>
            <w:tcBorders>
              <w:bottom w:val="single" w:sz="8" w:color="0000FF"/>
            </w:tcBorders>
            <w:gridSpan w:val="3"/>
          </w:tcPr>
          <w:p>
            <w:pPr>
              <w:spacing w:after="0"/>
              <w:rPr>
                <w:rFonts w:ascii="Arial" w:cs="Arial" w:eastAsia="Arial" w:hAnsi="Arial"/>
                <w:sz w:val="12"/>
                <w:szCs w:val="12"/>
                <w:color w:val="0000FF"/>
                <w:w w:val="87"/>
              </w:rPr>
            </w:pPr>
            <w:hyperlink w:anchor="page13">
              <w:r>
                <w:rPr>
                  <w:rFonts w:ascii="Arial" w:cs="Arial" w:eastAsia="Arial" w:hAnsi="Arial"/>
                  <w:sz w:val="12"/>
                  <w:szCs w:val="12"/>
                  <w:color w:val="0000FF"/>
                  <w:w w:val="87"/>
                </w:rPr>
                <w:t>Earnings Release and Statistical Pages</w:t>
              </w:r>
            </w:hyperlink>
          </w:p>
        </w:tc>
        <w:tc>
          <w:tcPr>
            <w:tcW w:w="8280" w:type="dxa"/>
            <w:vAlign w:val="bottom"/>
            <w:gridSpan w:val="3"/>
          </w:tcPr>
          <w:p>
            <w:pPr>
              <w:spacing w:after="0"/>
              <w:rPr>
                <w:sz w:val="14"/>
                <w:szCs w:val="14"/>
                <w:color w:val="auto"/>
              </w:rPr>
            </w:pPr>
          </w:p>
        </w:tc>
      </w:tr>
      <w:tr>
        <w:trPr>
          <w:trHeight w:val="205"/>
        </w:trPr>
        <w:tc>
          <w:tcPr>
            <w:tcW w:w="1160" w:type="dxa"/>
            <w:vAlign w:val="bottom"/>
          </w:tcPr>
          <w:p>
            <w:pPr>
              <w:spacing w:after="0"/>
              <w:rPr>
                <w:sz w:val="20"/>
                <w:szCs w:val="20"/>
                <w:color w:val="auto"/>
              </w:rPr>
            </w:pPr>
            <w:r>
              <w:rPr>
                <w:rFonts w:ascii="Arial" w:cs="Arial" w:eastAsia="Arial" w:hAnsi="Arial"/>
                <w:sz w:val="12"/>
                <w:szCs w:val="12"/>
                <w:color w:val="auto"/>
              </w:rPr>
              <w:t>99.3</w:t>
            </w:r>
          </w:p>
        </w:tc>
        <w:tc>
          <w:tcPr>
            <w:tcW w:w="10140" w:type="dxa"/>
            <w:vAlign w:val="bottom"/>
            <w:gridSpan w:val="6"/>
          </w:tcPr>
          <w:p>
            <w:pPr>
              <w:spacing w:after="0"/>
              <w:rPr>
                <w:rFonts w:ascii="Arial" w:cs="Arial" w:eastAsia="Arial" w:hAnsi="Arial"/>
                <w:sz w:val="12"/>
                <w:szCs w:val="12"/>
                <w:color w:val="0000FF"/>
              </w:rPr>
            </w:pPr>
            <w:hyperlink w:anchor="page46">
              <w:r>
                <w:rPr>
                  <w:rFonts w:ascii="Arial" w:cs="Arial" w:eastAsia="Arial" w:hAnsi="Arial"/>
                  <w:sz w:val="12"/>
                  <w:szCs w:val="12"/>
                  <w:color w:val="0000FF"/>
                </w:rPr>
                <w:t>Kindred at Home Press Release dated April 27, 2021</w:t>
              </w:r>
            </w:hyperlink>
          </w:p>
        </w:tc>
      </w:tr>
      <w:tr>
        <w:trPr>
          <w:trHeight w:val="133"/>
        </w:trPr>
        <w:tc>
          <w:tcPr>
            <w:tcW w:w="1160" w:type="dxa"/>
            <w:vAlign w:val="bottom"/>
          </w:tcPr>
          <w:p>
            <w:pPr>
              <w:spacing w:after="0" w:line="133" w:lineRule="exact"/>
              <w:rPr>
                <w:sz w:val="20"/>
                <w:szCs w:val="20"/>
                <w:color w:val="auto"/>
              </w:rPr>
            </w:pPr>
            <w:r>
              <w:rPr>
                <w:rFonts w:ascii="Arial" w:cs="Arial" w:eastAsia="Arial" w:hAnsi="Arial"/>
                <w:sz w:val="12"/>
                <w:szCs w:val="12"/>
                <w:color w:val="auto"/>
              </w:rPr>
              <w:t>99.4</w:t>
            </w:r>
          </w:p>
        </w:tc>
        <w:tc>
          <w:tcPr>
            <w:tcW w:w="1400" w:type="dxa"/>
            <w:vAlign w:val="bottom"/>
            <w:tcBorders>
              <w:top w:val="single" w:sz="8" w:color="0000FF"/>
              <w:bottom w:val="single" w:sz="8" w:color="0000FF"/>
            </w:tcBorders>
            <w:gridSpan w:val="2"/>
          </w:tcPr>
          <w:p>
            <w:pPr>
              <w:spacing w:after="0" w:line="133" w:lineRule="exact"/>
              <w:rPr>
                <w:rFonts w:ascii="Arial" w:cs="Arial" w:eastAsia="Arial" w:hAnsi="Arial"/>
                <w:sz w:val="12"/>
                <w:szCs w:val="12"/>
                <w:color w:val="0000FF"/>
                <w:w w:val="91"/>
              </w:rPr>
            </w:pPr>
            <w:hyperlink w:anchor="page54">
              <w:r>
                <w:rPr>
                  <w:rFonts w:ascii="Arial" w:cs="Arial" w:eastAsia="Arial" w:hAnsi="Arial"/>
                  <w:sz w:val="12"/>
                  <w:szCs w:val="12"/>
                  <w:color w:val="0000FF"/>
                  <w:w w:val="91"/>
                </w:rPr>
                <w:t>Kindred at Home Slide Deck</w:t>
              </w:r>
            </w:hyperlink>
          </w:p>
        </w:tc>
        <w:tc>
          <w:tcPr>
            <w:tcW w:w="1140" w:type="dxa"/>
            <w:vAlign w:val="bottom"/>
            <w:tcBorders>
              <w:top w:val="single" w:sz="8" w:color="0000FF"/>
            </w:tcBorders>
            <w:gridSpan w:val="2"/>
          </w:tcPr>
          <w:p>
            <w:pPr>
              <w:spacing w:after="0"/>
              <w:rPr>
                <w:sz w:val="11"/>
                <w:szCs w:val="11"/>
                <w:color w:val="auto"/>
              </w:rPr>
            </w:pPr>
          </w:p>
        </w:tc>
        <w:tc>
          <w:tcPr>
            <w:tcW w:w="7600" w:type="dxa"/>
            <w:vAlign w:val="bottom"/>
            <w:gridSpan w:val="2"/>
          </w:tcPr>
          <w:p>
            <w:pPr>
              <w:spacing w:after="0"/>
              <w:rPr>
                <w:sz w:val="11"/>
                <w:szCs w:val="11"/>
                <w:color w:val="auto"/>
              </w:rPr>
            </w:pPr>
          </w:p>
        </w:tc>
      </w:tr>
      <w:tr>
        <w:trPr>
          <w:trHeight w:val="160"/>
        </w:trPr>
        <w:tc>
          <w:tcPr>
            <w:tcW w:w="1160" w:type="dxa"/>
            <w:vAlign w:val="bottom"/>
          </w:tcPr>
          <w:p>
            <w:pPr>
              <w:spacing w:after="0"/>
              <w:rPr>
                <w:sz w:val="20"/>
                <w:szCs w:val="20"/>
                <w:color w:val="auto"/>
              </w:rPr>
            </w:pPr>
            <w:r>
              <w:rPr>
                <w:rFonts w:ascii="Arial" w:cs="Arial" w:eastAsia="Arial" w:hAnsi="Arial"/>
                <w:sz w:val="12"/>
                <w:szCs w:val="12"/>
                <w:color w:val="auto"/>
              </w:rPr>
              <w:t>104</w:t>
            </w:r>
          </w:p>
        </w:tc>
        <w:tc>
          <w:tcPr>
            <w:tcW w:w="10140" w:type="dxa"/>
            <w:vAlign w:val="bottom"/>
            <w:gridSpan w:val="6"/>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r>
        <w:trPr>
          <w:trHeight w:val="657"/>
        </w:trPr>
        <w:tc>
          <w:tcPr>
            <w:tcW w:w="1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8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73" w:lineRule="exact"/>
        <w:rPr>
          <w:sz w:val="20"/>
          <w:szCs w:val="20"/>
          <w:color w:val="auto"/>
        </w:rPr>
      </w:pPr>
    </w:p>
    <w:tbl>
      <w:tblPr>
        <w:tblLayout w:type="fixed"/>
        <w:tblInd w:w="4820" w:type="dxa"/>
        <w:tblCellMar>
          <w:top w:w="0" w:type="dxa"/>
          <w:left w:w="0" w:type="dxa"/>
          <w:bottom w:w="0" w:type="dxa"/>
          <w:right w:w="0" w:type="dxa"/>
        </w:tblCellMar>
      </w:tblPr>
      <w:tr>
        <w:trPr>
          <w:trHeight w:val="157"/>
        </w:trPr>
        <w:tc>
          <w:tcPr>
            <w:tcW w:w="900" w:type="dxa"/>
            <w:vAlign w:val="bottom"/>
          </w:tcPr>
          <w:p>
            <w:pPr>
              <w:spacing w:after="0"/>
              <w:rPr>
                <w:sz w:val="20"/>
                <w:szCs w:val="20"/>
                <w:color w:val="auto"/>
              </w:rPr>
            </w:pPr>
            <w:r>
              <w:rPr>
                <w:rFonts w:ascii="Arial" w:cs="Arial" w:eastAsia="Arial" w:hAnsi="Arial"/>
                <w:sz w:val="12"/>
                <w:szCs w:val="12"/>
                <w:b w:val="1"/>
                <w:bCs w:val="1"/>
                <w:color w:val="auto"/>
              </w:rPr>
              <w:t>HUMANA INC.</w:t>
            </w:r>
          </w:p>
        </w:tc>
        <w:tc>
          <w:tcPr>
            <w:tcW w:w="5580" w:type="dxa"/>
            <w:vAlign w:val="bottom"/>
          </w:tcPr>
          <w:p>
            <w:pPr>
              <w:spacing w:after="0"/>
              <w:rPr>
                <w:sz w:val="13"/>
                <w:szCs w:val="13"/>
                <w:color w:val="auto"/>
              </w:rPr>
            </w:pPr>
          </w:p>
        </w:tc>
      </w:tr>
      <w:tr>
        <w:trPr>
          <w:trHeight w:val="333"/>
        </w:trPr>
        <w:tc>
          <w:tcPr>
            <w:tcW w:w="900" w:type="dxa"/>
            <w:vAlign w:val="bottom"/>
          </w:tcPr>
          <w:p>
            <w:pPr>
              <w:spacing w:after="0"/>
              <w:rPr>
                <w:sz w:val="20"/>
                <w:szCs w:val="20"/>
                <w:color w:val="auto"/>
              </w:rPr>
            </w:pPr>
            <w:r>
              <w:rPr>
                <w:rFonts w:ascii="Arial" w:cs="Arial" w:eastAsia="Arial" w:hAnsi="Arial"/>
                <w:sz w:val="12"/>
                <w:szCs w:val="12"/>
                <w:b w:val="1"/>
                <w:bCs w:val="1"/>
                <w:color w:val="auto"/>
              </w:rPr>
              <w:t>BY:</w:t>
            </w:r>
          </w:p>
        </w:tc>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/s/ Cynthia H. Zipperle</w:t>
            </w:r>
          </w:p>
        </w:tc>
      </w:tr>
      <w:tr>
        <w:trPr>
          <w:trHeight w:val="138"/>
        </w:trPr>
        <w:tc>
          <w:tcPr>
            <w:tcW w:w="900" w:type="dxa"/>
            <w:vAlign w:val="bottom"/>
          </w:tcPr>
          <w:p>
            <w:pPr>
              <w:spacing w:after="0"/>
              <w:rPr>
                <w:sz w:val="12"/>
                <w:szCs w:val="12"/>
                <w:color w:val="auto"/>
              </w:rPr>
            </w:pPr>
          </w:p>
        </w:tc>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Cynthia H. Zipperle</w:t>
            </w:r>
          </w:p>
        </w:tc>
      </w:tr>
      <w:tr>
        <w:trPr>
          <w:trHeight w:val="153"/>
        </w:trPr>
        <w:tc>
          <w:tcPr>
            <w:tcW w:w="900" w:type="dxa"/>
            <w:vAlign w:val="bottom"/>
          </w:tcPr>
          <w:p>
            <w:pPr>
              <w:spacing w:after="0"/>
              <w:rPr>
                <w:sz w:val="13"/>
                <w:szCs w:val="13"/>
                <w:color w:val="auto"/>
              </w:rPr>
            </w:pPr>
          </w:p>
        </w:tc>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Senior Vice President, Chief Accounting Officer and Controller</w:t>
            </w:r>
          </w:p>
        </w:tc>
      </w:tr>
      <w:tr>
        <w:trPr>
          <w:trHeight w:val="157"/>
        </w:trPr>
        <w:tc>
          <w:tcPr>
            <w:tcW w:w="900" w:type="dxa"/>
            <w:vAlign w:val="bottom"/>
          </w:tcPr>
          <w:p>
            <w:pPr>
              <w:spacing w:after="0"/>
              <w:rPr>
                <w:sz w:val="13"/>
                <w:szCs w:val="13"/>
                <w:color w:val="auto"/>
              </w:rPr>
            </w:pPr>
          </w:p>
        </w:tc>
        <w:tc>
          <w:tcPr>
            <w:tcW w:w="5580" w:type="dxa"/>
            <w:vAlign w:val="bottom"/>
          </w:tcPr>
          <w:p>
            <w:pPr>
              <w:ind w:left="20"/>
              <w:spacing w:after="0"/>
              <w:rPr>
                <w:sz w:val="20"/>
                <w:szCs w:val="20"/>
                <w:color w:val="auto"/>
              </w:rPr>
            </w:pPr>
            <w:r>
              <w:rPr>
                <w:rFonts w:ascii="Arial" w:cs="Arial" w:eastAsia="Arial" w:hAnsi="Arial"/>
                <w:sz w:val="12"/>
                <w:szCs w:val="12"/>
                <w:b w:val="1"/>
                <w:bCs w:val="1"/>
                <w:color w:val="auto"/>
              </w:rPr>
              <w:t>(Principal Accounting Officer)</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Dated: April 28, 2021</w:t>
      </w:r>
    </w:p>
    <w:p>
      <w:pPr>
        <w:sectPr>
          <w:pgSz w:w="11900" w:h="16838" w:orient="portrait"/>
          <w:cols w:equalWidth="0" w:num="1">
            <w:col w:w="11300"/>
          </w:cols>
          <w:pgMar w:left="300" w:top="784"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988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n e w s </w:t>
            </w:r>
            <w:r>
              <w:rPr>
                <w:rFonts w:ascii="Arial" w:cs="Arial" w:eastAsia="Arial" w:hAnsi="Arial"/>
                <w:sz w:val="18"/>
                <w:szCs w:val="18"/>
                <w:color w:val="auto"/>
              </w:rPr>
              <w:t>r e l e a s e</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Exhibit 99.1</w:t>
            </w:r>
          </w:p>
        </w:tc>
      </w:tr>
      <w:tr>
        <w:trPr>
          <w:trHeight w:val="88"/>
        </w:trPr>
        <w:tc>
          <w:tcPr>
            <w:tcW w:w="4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80" w:type="dxa"/>
            <w:vAlign w:val="bottom"/>
          </w:tcPr>
          <w:p>
            <w:pPr>
              <w:spacing w:after="0"/>
              <w:rPr>
                <w:sz w:val="7"/>
                <w:szCs w:val="7"/>
                <w:color w:val="auto"/>
              </w:rPr>
            </w:pPr>
          </w:p>
        </w:tc>
        <w:tc>
          <w:tcPr>
            <w:tcW w:w="1400" w:type="dxa"/>
            <w:vAlign w:val="bottom"/>
          </w:tcPr>
          <w:p>
            <w:pPr>
              <w:jc w:val="right"/>
              <w:spacing w:after="0" w:line="88" w:lineRule="exact"/>
              <w:rPr>
                <w:sz w:val="20"/>
                <w:szCs w:val="20"/>
                <w:color w:val="auto"/>
              </w:rPr>
            </w:pPr>
            <w:r>
              <w:rPr>
                <w:rFonts w:ascii="Arial" w:cs="Arial" w:eastAsia="Arial" w:hAnsi="Arial"/>
                <w:sz w:val="10"/>
                <w:szCs w:val="10"/>
                <w:color w:val="auto"/>
              </w:rPr>
              <w:t>Humana Inc.</w:t>
            </w:r>
          </w:p>
        </w:tc>
      </w:tr>
      <w:tr>
        <w:trPr>
          <w:trHeight w:val="126"/>
        </w:trPr>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1400" w:type="dxa"/>
            <w:vAlign w:val="bottom"/>
          </w:tcPr>
          <w:p>
            <w:pPr>
              <w:jc w:val="right"/>
              <w:spacing w:after="0" w:line="126" w:lineRule="exact"/>
              <w:rPr>
                <w:sz w:val="20"/>
                <w:szCs w:val="20"/>
                <w:color w:val="auto"/>
              </w:rPr>
            </w:pPr>
            <w:r>
              <w:rPr>
                <w:rFonts w:ascii="Arial" w:cs="Arial" w:eastAsia="Arial" w:hAnsi="Arial"/>
                <w:sz w:val="13"/>
                <w:szCs w:val="13"/>
                <w:color w:val="auto"/>
              </w:rPr>
              <w:t>500 West Main Street</w:t>
            </w:r>
          </w:p>
        </w:tc>
      </w:tr>
      <w:tr>
        <w:trPr>
          <w:trHeight w:val="126"/>
        </w:trPr>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1400" w:type="dxa"/>
            <w:vAlign w:val="bottom"/>
          </w:tcPr>
          <w:p>
            <w:pPr>
              <w:jc w:val="right"/>
              <w:spacing w:after="0" w:line="126" w:lineRule="exact"/>
              <w:rPr>
                <w:sz w:val="20"/>
                <w:szCs w:val="20"/>
                <w:color w:val="auto"/>
              </w:rPr>
            </w:pPr>
            <w:r>
              <w:rPr>
                <w:rFonts w:ascii="Arial" w:cs="Arial" w:eastAsia="Arial" w:hAnsi="Arial"/>
                <w:sz w:val="13"/>
                <w:szCs w:val="13"/>
                <w:color w:val="auto"/>
              </w:rPr>
              <w:t>P.O. Box 1438</w:t>
            </w:r>
          </w:p>
        </w:tc>
      </w:tr>
      <w:tr>
        <w:trPr>
          <w:trHeight w:val="126"/>
        </w:trPr>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1400" w:type="dxa"/>
            <w:vAlign w:val="bottom"/>
          </w:tcPr>
          <w:p>
            <w:pPr>
              <w:jc w:val="right"/>
              <w:spacing w:after="0" w:line="126" w:lineRule="exact"/>
              <w:rPr>
                <w:sz w:val="20"/>
                <w:szCs w:val="20"/>
                <w:color w:val="auto"/>
              </w:rPr>
            </w:pPr>
            <w:r>
              <w:rPr>
                <w:rFonts w:ascii="Arial" w:cs="Arial" w:eastAsia="Arial" w:hAnsi="Arial"/>
                <w:sz w:val="13"/>
                <w:szCs w:val="13"/>
                <w:color w:val="auto"/>
              </w:rPr>
              <w:t>Louisville, KY 40202</w:t>
            </w:r>
          </w:p>
        </w:tc>
      </w:tr>
      <w:tr>
        <w:trPr>
          <w:trHeight w:val="128"/>
        </w:trPr>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80" w:type="dxa"/>
            <w:vAlign w:val="bottom"/>
          </w:tcPr>
          <w:p>
            <w:pPr>
              <w:spacing w:after="0"/>
              <w:rPr>
                <w:sz w:val="11"/>
                <w:szCs w:val="11"/>
                <w:color w:val="auto"/>
              </w:rPr>
            </w:pPr>
          </w:p>
        </w:tc>
        <w:tc>
          <w:tcPr>
            <w:tcW w:w="1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8"/>
              </w:rPr>
              <w:t>http://www.humana.com</w:t>
            </w:r>
          </w:p>
        </w:tc>
      </w:tr>
      <w:tr>
        <w:trPr>
          <w:trHeight w:val="234"/>
        </w:trPr>
        <w:tc>
          <w:tcPr>
            <w:tcW w:w="9880" w:type="dxa"/>
            <w:vAlign w:val="bottom"/>
            <w:gridSpan w:val="4"/>
          </w:tcPr>
          <w:p>
            <w:pPr>
              <w:spacing w:after="0"/>
              <w:rPr>
                <w:sz w:val="20"/>
                <w:szCs w:val="20"/>
                <w:color w:val="auto"/>
              </w:rPr>
            </w:pPr>
            <w:r>
              <w:rPr>
                <w:rFonts w:ascii="Arial" w:cs="Arial" w:eastAsia="Arial" w:hAnsi="Arial"/>
                <w:sz w:val="13"/>
                <w:szCs w:val="13"/>
                <w:color w:val="auto"/>
              </w:rPr>
              <w:t>FOR MORE INFORMATION CONTACT:</w:t>
            </w:r>
          </w:p>
        </w:tc>
        <w:tc>
          <w:tcPr>
            <w:tcW w:w="1400" w:type="dxa"/>
            <w:vAlign w:val="bottom"/>
          </w:tcPr>
          <w:p>
            <w:pPr>
              <w:spacing w:after="0"/>
              <w:rPr>
                <w:sz w:val="20"/>
                <w:szCs w:val="20"/>
                <w:color w:val="auto"/>
              </w:rPr>
            </w:pPr>
          </w:p>
        </w:tc>
      </w:tr>
      <w:tr>
        <w:trPr>
          <w:trHeight w:val="257"/>
        </w:trPr>
        <w:tc>
          <w:tcPr>
            <w:tcW w:w="9880" w:type="dxa"/>
            <w:vAlign w:val="bottom"/>
            <w:gridSpan w:val="4"/>
          </w:tcPr>
          <w:p>
            <w:pPr>
              <w:spacing w:after="0"/>
              <w:rPr>
                <w:sz w:val="20"/>
                <w:szCs w:val="20"/>
                <w:color w:val="auto"/>
              </w:rPr>
            </w:pPr>
            <w:r>
              <w:rPr>
                <w:rFonts w:ascii="Arial" w:cs="Arial" w:eastAsia="Arial" w:hAnsi="Arial"/>
                <w:sz w:val="13"/>
                <w:szCs w:val="13"/>
                <w:color w:val="auto"/>
              </w:rPr>
              <w:t>Amy Smith</w:t>
            </w:r>
          </w:p>
        </w:tc>
        <w:tc>
          <w:tcPr>
            <w:tcW w:w="1400" w:type="dxa"/>
            <w:vAlign w:val="bottom"/>
          </w:tcPr>
          <w:p>
            <w:pPr>
              <w:spacing w:after="0"/>
              <w:rPr>
                <w:sz w:val="22"/>
                <w:szCs w:val="22"/>
                <w:color w:val="auto"/>
              </w:rPr>
            </w:pPr>
          </w:p>
        </w:tc>
      </w:tr>
      <w:tr>
        <w:trPr>
          <w:trHeight w:val="126"/>
        </w:trPr>
        <w:tc>
          <w:tcPr>
            <w:tcW w:w="9880" w:type="dxa"/>
            <w:vAlign w:val="bottom"/>
            <w:gridSpan w:val="4"/>
          </w:tcPr>
          <w:p>
            <w:pPr>
              <w:spacing w:after="0" w:line="126" w:lineRule="exact"/>
              <w:rPr>
                <w:sz w:val="20"/>
                <w:szCs w:val="20"/>
                <w:color w:val="auto"/>
              </w:rPr>
            </w:pPr>
            <w:r>
              <w:rPr>
                <w:rFonts w:ascii="Arial" w:cs="Arial" w:eastAsia="Arial" w:hAnsi="Arial"/>
                <w:sz w:val="13"/>
                <w:szCs w:val="13"/>
                <w:color w:val="auto"/>
              </w:rPr>
              <w:t>Humana Investor Relations</w:t>
            </w:r>
          </w:p>
        </w:tc>
        <w:tc>
          <w:tcPr>
            <w:tcW w:w="1400" w:type="dxa"/>
            <w:vAlign w:val="bottom"/>
          </w:tcPr>
          <w:p>
            <w:pPr>
              <w:spacing w:after="0"/>
              <w:rPr>
                <w:sz w:val="10"/>
                <w:szCs w:val="10"/>
                <w:color w:val="auto"/>
              </w:rPr>
            </w:pPr>
          </w:p>
        </w:tc>
      </w:tr>
      <w:tr>
        <w:trPr>
          <w:trHeight w:val="126"/>
        </w:trPr>
        <w:tc>
          <w:tcPr>
            <w:tcW w:w="1920" w:type="dxa"/>
            <w:vAlign w:val="bottom"/>
            <w:gridSpan w:val="2"/>
          </w:tcPr>
          <w:p>
            <w:pPr>
              <w:spacing w:after="0" w:line="126" w:lineRule="exact"/>
              <w:rPr>
                <w:sz w:val="20"/>
                <w:szCs w:val="20"/>
                <w:color w:val="auto"/>
              </w:rPr>
            </w:pPr>
            <w:r>
              <w:rPr>
                <w:rFonts w:ascii="Arial" w:cs="Arial" w:eastAsia="Arial" w:hAnsi="Arial"/>
                <w:sz w:val="13"/>
                <w:szCs w:val="13"/>
                <w:color w:val="auto"/>
              </w:rPr>
              <w:t>(502) 580-2811</w:t>
            </w:r>
          </w:p>
        </w:tc>
        <w:tc>
          <w:tcPr>
            <w:tcW w:w="80" w:type="dxa"/>
            <w:vAlign w:val="bottom"/>
          </w:tcPr>
          <w:p>
            <w:pPr>
              <w:spacing w:after="0"/>
              <w:rPr>
                <w:sz w:val="10"/>
                <w:szCs w:val="10"/>
                <w:color w:val="auto"/>
              </w:rPr>
            </w:pPr>
          </w:p>
        </w:tc>
        <w:tc>
          <w:tcPr>
            <w:tcW w:w="788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128"/>
        </w:trPr>
        <w:tc>
          <w:tcPr>
            <w:tcW w:w="9880" w:type="dxa"/>
            <w:vAlign w:val="bottom"/>
            <w:gridSpan w:val="4"/>
          </w:tcPr>
          <w:p>
            <w:pPr>
              <w:spacing w:after="0" w:line="129" w:lineRule="exact"/>
              <w:rPr>
                <w:sz w:val="20"/>
                <w:szCs w:val="20"/>
                <w:color w:val="auto"/>
              </w:rPr>
            </w:pPr>
            <w:r>
              <w:rPr>
                <w:rFonts w:ascii="Arial" w:cs="Arial" w:eastAsia="Arial" w:hAnsi="Arial"/>
                <w:sz w:val="13"/>
                <w:szCs w:val="13"/>
                <w:color w:val="auto"/>
              </w:rPr>
              <w:t>e-mail: Amysmith@humana.com</w:t>
            </w:r>
          </w:p>
        </w:tc>
        <w:tc>
          <w:tcPr>
            <w:tcW w:w="1400" w:type="dxa"/>
            <w:vAlign w:val="bottom"/>
          </w:tcPr>
          <w:p>
            <w:pPr>
              <w:spacing w:after="0"/>
              <w:rPr>
                <w:sz w:val="11"/>
                <w:szCs w:val="11"/>
                <w:color w:val="auto"/>
              </w:rPr>
            </w:pPr>
          </w:p>
        </w:tc>
      </w:tr>
      <w:tr>
        <w:trPr>
          <w:trHeight w:val="20"/>
        </w:trPr>
        <w:tc>
          <w:tcPr>
            <w:tcW w:w="4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2"/>
        </w:trPr>
        <w:tc>
          <w:tcPr>
            <w:tcW w:w="9880" w:type="dxa"/>
            <w:vAlign w:val="bottom"/>
            <w:gridSpan w:val="4"/>
          </w:tcPr>
          <w:p>
            <w:pPr>
              <w:spacing w:after="0"/>
              <w:rPr>
                <w:sz w:val="20"/>
                <w:szCs w:val="20"/>
                <w:color w:val="auto"/>
              </w:rPr>
            </w:pPr>
            <w:r>
              <w:rPr>
                <w:rFonts w:ascii="Arial" w:cs="Arial" w:eastAsia="Arial" w:hAnsi="Arial"/>
                <w:sz w:val="13"/>
                <w:szCs w:val="13"/>
                <w:color w:val="auto"/>
              </w:rPr>
              <w:t>Kelley Murphy</w:t>
            </w:r>
          </w:p>
        </w:tc>
        <w:tc>
          <w:tcPr>
            <w:tcW w:w="1400" w:type="dxa"/>
            <w:vAlign w:val="bottom"/>
          </w:tcPr>
          <w:p>
            <w:pPr>
              <w:spacing w:after="0"/>
              <w:rPr>
                <w:sz w:val="24"/>
                <w:szCs w:val="24"/>
                <w:color w:val="auto"/>
              </w:rPr>
            </w:pPr>
          </w:p>
        </w:tc>
      </w:tr>
      <w:tr>
        <w:trPr>
          <w:trHeight w:val="153"/>
        </w:trPr>
        <w:tc>
          <w:tcPr>
            <w:tcW w:w="9880" w:type="dxa"/>
            <w:vAlign w:val="bottom"/>
            <w:gridSpan w:val="4"/>
          </w:tcPr>
          <w:p>
            <w:pPr>
              <w:spacing w:after="0"/>
              <w:rPr>
                <w:sz w:val="20"/>
                <w:szCs w:val="20"/>
                <w:color w:val="auto"/>
              </w:rPr>
            </w:pPr>
            <w:r>
              <w:rPr>
                <w:rFonts w:ascii="Arial" w:cs="Arial" w:eastAsia="Arial" w:hAnsi="Arial"/>
                <w:sz w:val="13"/>
                <w:szCs w:val="13"/>
                <w:color w:val="auto"/>
              </w:rPr>
              <w:t>Humana Corporate Communications</w:t>
            </w:r>
          </w:p>
        </w:tc>
        <w:tc>
          <w:tcPr>
            <w:tcW w:w="1400" w:type="dxa"/>
            <w:vAlign w:val="bottom"/>
          </w:tcPr>
          <w:p>
            <w:pPr>
              <w:spacing w:after="0"/>
              <w:rPr>
                <w:sz w:val="13"/>
                <w:szCs w:val="13"/>
                <w:color w:val="auto"/>
              </w:rPr>
            </w:pPr>
          </w:p>
        </w:tc>
      </w:tr>
      <w:tr>
        <w:trPr>
          <w:trHeight w:val="153"/>
        </w:trPr>
        <w:tc>
          <w:tcPr>
            <w:tcW w:w="1920" w:type="dxa"/>
            <w:vAlign w:val="bottom"/>
            <w:gridSpan w:val="2"/>
          </w:tcPr>
          <w:p>
            <w:pPr>
              <w:spacing w:after="0"/>
              <w:rPr>
                <w:sz w:val="20"/>
                <w:szCs w:val="20"/>
                <w:color w:val="auto"/>
              </w:rPr>
            </w:pPr>
            <w:r>
              <w:rPr>
                <w:rFonts w:ascii="Arial" w:cs="Arial" w:eastAsia="Arial" w:hAnsi="Arial"/>
                <w:sz w:val="13"/>
                <w:szCs w:val="13"/>
                <w:color w:val="auto"/>
              </w:rPr>
              <w:t>(502) 224-1755</w:t>
            </w:r>
          </w:p>
        </w:tc>
        <w:tc>
          <w:tcPr>
            <w:tcW w:w="8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28"/>
        </w:trPr>
        <w:tc>
          <w:tcPr>
            <w:tcW w:w="9880" w:type="dxa"/>
            <w:vAlign w:val="bottom"/>
            <w:gridSpan w:val="4"/>
          </w:tcPr>
          <w:p>
            <w:pPr>
              <w:spacing w:after="0" w:line="129" w:lineRule="exact"/>
              <w:rPr>
                <w:sz w:val="20"/>
                <w:szCs w:val="20"/>
                <w:color w:val="auto"/>
              </w:rPr>
            </w:pPr>
            <w:r>
              <w:rPr>
                <w:rFonts w:ascii="Arial" w:cs="Arial" w:eastAsia="Arial" w:hAnsi="Arial"/>
                <w:sz w:val="13"/>
                <w:szCs w:val="13"/>
                <w:color w:val="auto"/>
              </w:rPr>
              <w:t>e-mail: Kmurphy26@humana.com</w:t>
            </w:r>
          </w:p>
        </w:tc>
        <w:tc>
          <w:tcPr>
            <w:tcW w:w="1400" w:type="dxa"/>
            <w:vAlign w:val="bottom"/>
          </w:tcPr>
          <w:p>
            <w:pPr>
              <w:spacing w:after="0"/>
              <w:rPr>
                <w:sz w:val="11"/>
                <w:szCs w:val="11"/>
                <w:color w:val="auto"/>
              </w:rPr>
            </w:pP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4658360</wp:posOffset>
            </wp:positionH>
            <wp:positionV relativeFrom="paragraph">
              <wp:posOffset>-879475</wp:posOffset>
            </wp:positionV>
            <wp:extent cx="1240155" cy="3714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0155" cy="37147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Humana Reports First Quarter 2021 Financial Results;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Reaffirms Full Year 2021 Adjusted EPS Financial Guidance</w:t>
      </w:r>
    </w:p>
    <w:p>
      <w:pPr>
        <w:spacing w:after="0" w:line="171" w:lineRule="exact"/>
        <w:rPr>
          <w:sz w:val="20"/>
          <w:szCs w:val="20"/>
          <w:color w:val="auto"/>
        </w:rPr>
      </w:pPr>
    </w:p>
    <w:p>
      <w:pPr>
        <w:ind w:left="400" w:hanging="192"/>
        <w:spacing w:after="0"/>
        <w:tabs>
          <w:tab w:leader="none" w:pos="400" w:val="left"/>
        </w:tabs>
        <w:numPr>
          <w:ilvl w:val="0"/>
          <w:numId w:val="2"/>
        </w:numPr>
        <w:rPr>
          <w:rFonts w:ascii="Arial" w:cs="Arial" w:eastAsia="Arial" w:hAnsi="Arial"/>
          <w:sz w:val="11"/>
          <w:szCs w:val="11"/>
          <w:color w:val="auto"/>
        </w:rPr>
      </w:pPr>
      <w:r>
        <w:rPr>
          <w:rFonts w:ascii="Arial" w:cs="Arial" w:eastAsia="Arial" w:hAnsi="Arial"/>
          <w:sz w:val="12"/>
          <w:szCs w:val="12"/>
          <w:color w:val="auto"/>
        </w:rPr>
        <w:t>Reports 1Q21 earnings per diluted common share of $6.39 on a GAAP basis, $7.67 on an Adjusted basis</w:t>
      </w:r>
    </w:p>
    <w:p>
      <w:pPr>
        <w:spacing w:after="0" w:line="6" w:lineRule="exact"/>
        <w:rPr>
          <w:rFonts w:ascii="Arial" w:cs="Arial" w:eastAsia="Arial" w:hAnsi="Arial"/>
          <w:sz w:val="11"/>
          <w:szCs w:val="11"/>
          <w:color w:val="auto"/>
        </w:rPr>
      </w:pPr>
    </w:p>
    <w:p>
      <w:pPr>
        <w:ind w:left="420" w:right="80" w:hanging="212"/>
        <w:spacing w:after="0" w:line="250" w:lineRule="auto"/>
        <w:tabs>
          <w:tab w:leader="none" w:pos="399" w:val="left"/>
        </w:tabs>
        <w:numPr>
          <w:ilvl w:val="0"/>
          <w:numId w:val="2"/>
        </w:numPr>
        <w:rPr>
          <w:rFonts w:ascii="Arial" w:cs="Arial" w:eastAsia="Arial" w:hAnsi="Arial"/>
          <w:sz w:val="12"/>
          <w:szCs w:val="12"/>
          <w:color w:val="auto"/>
        </w:rPr>
      </w:pPr>
      <w:r>
        <w:rPr>
          <w:rFonts w:ascii="Arial" w:cs="Arial" w:eastAsia="Arial" w:hAnsi="Arial"/>
          <w:sz w:val="12"/>
          <w:szCs w:val="12"/>
          <w:color w:val="auto"/>
        </w:rPr>
        <w:t>Updates FY 2021 EPS guidance to a range of $19.62 to $20.12 on a GAAP basis, reaffirms $21.25 to $21.75 on Adjusted basis; while acknowledging the continued heightened uncertainty surrounding the ongoing pandemic</w:t>
      </w: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Reaffirms FY 2021 expected individual Medicare Advantage membership growth range of approximately 425,000 to 475,000 members</w:t>
      </w:r>
    </w:p>
    <w:p>
      <w:pPr>
        <w:spacing w:after="0" w:line="6" w:lineRule="exact"/>
        <w:rPr>
          <w:rFonts w:ascii="Arial" w:cs="Arial" w:eastAsia="Arial" w:hAnsi="Arial"/>
          <w:sz w:val="12"/>
          <w:szCs w:val="12"/>
          <w:color w:val="auto"/>
        </w:rPr>
      </w:pPr>
    </w:p>
    <w:p>
      <w:pPr>
        <w:ind w:left="420" w:right="420" w:hanging="212"/>
        <w:spacing w:after="0" w:line="261" w:lineRule="auto"/>
        <w:tabs>
          <w:tab w:leader="none" w:pos="399" w:val="left"/>
        </w:tabs>
        <w:numPr>
          <w:ilvl w:val="0"/>
          <w:numId w:val="2"/>
        </w:numPr>
        <w:rPr>
          <w:rFonts w:ascii="Arial" w:cs="Arial" w:eastAsia="Arial" w:hAnsi="Arial"/>
          <w:sz w:val="12"/>
          <w:szCs w:val="12"/>
          <w:color w:val="auto"/>
        </w:rPr>
      </w:pPr>
      <w:r>
        <w:rPr>
          <w:rFonts w:ascii="Arial" w:cs="Arial" w:eastAsia="Arial" w:hAnsi="Arial"/>
          <w:sz w:val="12"/>
          <w:szCs w:val="12"/>
          <w:color w:val="auto"/>
        </w:rPr>
        <w:t>Reflects solid performance across each of the company's segments, fueled by strong individual Medicare Advantage and state-based membership growth and improved profitability in the Group and Specialty and Healthcare Services segments</w:t>
      </w:r>
    </w:p>
    <w:p>
      <w:pPr>
        <w:spacing w:after="0" w:line="294" w:lineRule="exact"/>
        <w:rPr>
          <w:sz w:val="20"/>
          <w:szCs w:val="20"/>
          <w:color w:val="auto"/>
        </w:rPr>
      </w:pPr>
    </w:p>
    <w:p>
      <w:pPr>
        <w:ind w:right="420"/>
        <w:spacing w:after="0" w:line="269" w:lineRule="auto"/>
        <w:rPr>
          <w:sz w:val="20"/>
          <w:szCs w:val="20"/>
          <w:color w:val="auto"/>
        </w:rPr>
      </w:pPr>
      <w:r>
        <w:rPr>
          <w:rFonts w:ascii="Arial" w:cs="Arial" w:eastAsia="Arial" w:hAnsi="Arial"/>
          <w:sz w:val="13"/>
          <w:szCs w:val="13"/>
          <w:b w:val="1"/>
          <w:bCs w:val="1"/>
          <w:color w:val="auto"/>
        </w:rPr>
        <w:t xml:space="preserve">LOUISVILLE, KY (April 28, 2021) </w:t>
      </w:r>
      <w:r>
        <w:rPr>
          <w:rFonts w:ascii="Arial" w:cs="Arial" w:eastAsia="Arial" w:hAnsi="Arial"/>
          <w:sz w:val="13"/>
          <w:szCs w:val="13"/>
          <w:color w:val="auto"/>
        </w:rPr>
        <w:t>– Humana Inc. (NYSE: HUM) today reported consolidated pretax income and diluted earnings per common share for the quarter ended March 31, 2021</w:t>
      </w:r>
      <w:r>
        <w:rPr>
          <w:rFonts w:ascii="Arial" w:cs="Arial" w:eastAsia="Arial" w:hAnsi="Arial"/>
          <w:sz w:val="13"/>
          <w:szCs w:val="13"/>
          <w:b w:val="1"/>
          <w:bCs w:val="1"/>
          <w:color w:val="auto"/>
        </w:rPr>
        <w:t xml:space="preserve"> </w:t>
      </w:r>
      <w:r>
        <w:rPr>
          <w:rFonts w:ascii="Arial" w:cs="Arial" w:eastAsia="Arial" w:hAnsi="Arial"/>
          <w:sz w:val="13"/>
          <w:szCs w:val="13"/>
          <w:color w:val="auto"/>
        </w:rPr>
        <w:t>(1Q21) versus the quarter ended March 31, 2020 (1Q20) as noted in the tables below.</w:t>
      </w:r>
    </w:p>
    <w:p>
      <w:pPr>
        <w:spacing w:after="0" w:line="131" w:lineRule="exact"/>
        <w:rPr>
          <w:sz w:val="20"/>
          <w:szCs w:val="20"/>
          <w:color w:val="auto"/>
        </w:rPr>
      </w:pPr>
    </w:p>
    <w:tbl>
      <w:tblPr>
        <w:tblLayout w:type="fixed"/>
        <w:tblInd w:w="1350" w:type="dxa"/>
        <w:tblCellMar>
          <w:top w:w="0" w:type="dxa"/>
          <w:left w:w="0" w:type="dxa"/>
          <w:bottom w:w="0" w:type="dxa"/>
          <w:right w:w="0" w:type="dxa"/>
        </w:tblCellMar>
      </w:tblPr>
      <w:tr>
        <w:trPr>
          <w:trHeight w:val="152"/>
        </w:trPr>
        <w:tc>
          <w:tcPr>
            <w:tcW w:w="598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 xml:space="preserve">Consolidated income before income taxes and equity in earnings (pretax income) </w:t>
            </w:r>
            <w:r>
              <w:rPr>
                <w:rFonts w:ascii="Arial" w:cs="Arial" w:eastAsia="Arial" w:hAnsi="Arial"/>
                <w:sz w:val="11"/>
                <w:szCs w:val="11"/>
                <w:i w:val="1"/>
                <w:iCs w:val="1"/>
                <w:color w:val="auto"/>
              </w:rPr>
              <w:t>In millions</w:t>
            </w:r>
          </w:p>
        </w:tc>
        <w:tc>
          <w:tcPr>
            <w:tcW w:w="1320" w:type="dxa"/>
            <w:vAlign w:val="bottom"/>
            <w:tcBorders>
              <w:top w:val="single" w:sz="8" w:color="auto"/>
              <w:bottom w:val="single" w:sz="8" w:color="auto"/>
              <w:right w:val="single" w:sz="8" w:color="auto"/>
            </w:tcBorders>
            <w:shd w:val="clear" w:color="auto" w:fill="EAEAEA"/>
          </w:tcPr>
          <w:p>
            <w:pPr>
              <w:jc w:val="right"/>
              <w:ind w:right="406"/>
              <w:spacing w:after="0"/>
              <w:rPr>
                <w:sz w:val="20"/>
                <w:szCs w:val="20"/>
                <w:color w:val="auto"/>
              </w:rPr>
            </w:pPr>
            <w:r>
              <w:rPr>
                <w:rFonts w:ascii="Arial" w:cs="Arial" w:eastAsia="Arial" w:hAnsi="Arial"/>
                <w:sz w:val="11"/>
                <w:szCs w:val="11"/>
                <w:b w:val="1"/>
                <w:bCs w:val="1"/>
                <w:color w:val="auto"/>
              </w:rPr>
              <w:t>1Q21 (a)</w:t>
            </w:r>
          </w:p>
        </w:tc>
        <w:tc>
          <w:tcPr>
            <w:tcW w:w="1340" w:type="dxa"/>
            <w:vAlign w:val="bottom"/>
            <w:tcBorders>
              <w:top w:val="single" w:sz="8" w:color="auto"/>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color w:val="auto"/>
              </w:rPr>
              <w:t>1Q20 (b)</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Generally Accepted Accounting Principles (GAAP)</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$1,040</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$717</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Amortization associated with identifiable intangibles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15</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21</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Put/call valuation adjustments associated with company's non-consolidating minority interest investments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115</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297</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Change in fair market value of publicly-traded equity securities</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85</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Adjusted (non-GAAP)</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$1,255</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$1,035</w:t>
            </w:r>
          </w:p>
        </w:tc>
      </w:tr>
      <w:tr>
        <w:trPr>
          <w:trHeight w:val="233"/>
        </w:trPr>
        <w:tc>
          <w:tcPr>
            <w:tcW w:w="5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32"/>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Diluted earnings per common share (EPS)</w:t>
            </w:r>
          </w:p>
        </w:tc>
        <w:tc>
          <w:tcPr>
            <w:tcW w:w="1320" w:type="dxa"/>
            <w:vAlign w:val="bottom"/>
            <w:tcBorders>
              <w:bottom w:val="single" w:sz="8" w:color="auto"/>
              <w:right w:val="single" w:sz="8" w:color="auto"/>
            </w:tcBorders>
            <w:shd w:val="clear" w:color="auto" w:fill="EAEAEA"/>
          </w:tcPr>
          <w:p>
            <w:pPr>
              <w:jc w:val="right"/>
              <w:ind w:right="406"/>
              <w:spacing w:after="0"/>
              <w:rPr>
                <w:sz w:val="20"/>
                <w:szCs w:val="20"/>
                <w:color w:val="auto"/>
              </w:rPr>
            </w:pPr>
            <w:r>
              <w:rPr>
                <w:rFonts w:ascii="Arial" w:cs="Arial" w:eastAsia="Arial" w:hAnsi="Arial"/>
                <w:sz w:val="11"/>
                <w:szCs w:val="11"/>
                <w:b w:val="1"/>
                <w:bCs w:val="1"/>
                <w:color w:val="auto"/>
              </w:rPr>
              <w:t>1Q21 (a)</w:t>
            </w:r>
          </w:p>
        </w:tc>
        <w:tc>
          <w:tcPr>
            <w:tcW w:w="1340" w:type="dxa"/>
            <w:vAlign w:val="bottom"/>
            <w:tcBorders>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color w:val="auto"/>
              </w:rPr>
              <w:t>1Q20 (b)</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GAAP</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$6.39</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$3.56</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Amortization associated with identifiable intangibles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0.08</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0.12</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Put/call valuation adjustments associated with company's non-consolidating minority interest investments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0.69</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1.72</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Change in fair market value of publicly-traded equity securities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0.51</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Adjusted (non-GAAP)</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$7.67</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$5.40</w:t>
            </w:r>
          </w:p>
        </w:tc>
      </w:tr>
    </w:tbl>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770" w:right="319" w:bottom="1440" w:gutter="0" w:footer="0" w:header="0"/>
        </w:sectPr>
      </w:pPr>
    </w:p>
    <w:bookmarkStart w:id="4" w:name="page5"/>
    <w:bookmarkEnd w:id="4"/>
    <w:p>
      <w:pPr>
        <w:jc w:val="both"/>
        <w:spacing w:after="0" w:line="228" w:lineRule="auto"/>
        <w:rPr>
          <w:sz w:val="20"/>
          <w:szCs w:val="20"/>
          <w:color w:val="auto"/>
        </w:rPr>
      </w:pPr>
      <w:r>
        <w:rPr>
          <w:rFonts w:ascii="Arial" w:cs="Arial" w:eastAsia="Arial" w:hAnsi="Arial"/>
          <w:sz w:val="10"/>
          <w:szCs w:val="10"/>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151"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“We’re pleased with the strong start of the year, with solid results across the company, and meaningful progress against our strategy, all while we continue to navigate the pandemic,” said Bruce D. Broussard, Humana’s President and Chief Executive Officer. “In partnership with federal, state and local governments, and with retailers and providers, we’re working to educate our members about the COVID-19 vaccines, ensuring individuals have access to a vaccine, especially those in underserved communities. Our full range of clinical capabilities, which will be even broader now with our recently announced acquisition of Kindred at Home, uniquely position us to help improve the health of our country’s most vulnerable populations. The home is highly effective not only in making access to care more convenient for people, but it also allows us to understand their environment and help them address other barriers that limit their ability to improve their health.”</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Summary of Quarterly Results</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The company's year-over-year changes in GAAP and Adjusted pretax results in 1Q21 were favorably impacted by solid performance across each of the company's segments, fueled by strong individual Medicare Advantage and state-based contract membership growth and improved profitability in the Group and Specialty and Healthcare Services segments.</w:t>
      </w:r>
    </w:p>
    <w:p>
      <w:pPr>
        <w:spacing w:after="0" w:line="147"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auto"/>
        </w:rPr>
        <w:t>The year-over-year changes in GAAP and Adjusted EPS for 1Q21 reflected the same factors impacting GAAP and Adjusted consolidated pretax income comparisons as well as the beneficial tax impact of the termination of the health insurance industry fee (HIF) in 2021 and a lower number of shares used to compute EPS, primarily reflective of share repurchases.</w:t>
      </w:r>
    </w:p>
    <w:p>
      <w:pPr>
        <w:spacing w:after="0" w:line="147"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Humana’s 1Q21 GAAP results of operations were further impacted by the put/call valuation adjustments associated with the company's non-consolidating minority interest investments, along with the change in the fair market value of publicly-traded equity securities (primarily Oak Street Health, Inc.). The impact of these changes have been excluded in the company’s Adjusted (non-GAAP) consolidated results of operations as detailed in the tables above.</w:t>
      </w:r>
    </w:p>
    <w:p>
      <w:pPr>
        <w:spacing w:after="0" w:line="134" w:lineRule="exact"/>
        <w:rPr>
          <w:sz w:val="20"/>
          <w:szCs w:val="20"/>
          <w:color w:val="auto"/>
        </w:rPr>
      </w:pPr>
    </w:p>
    <w:p>
      <w:pPr>
        <w:ind w:right="380"/>
        <w:spacing w:after="0" w:line="258" w:lineRule="auto"/>
        <w:rPr>
          <w:sz w:val="20"/>
          <w:szCs w:val="20"/>
          <w:color w:val="auto"/>
        </w:rPr>
      </w:pPr>
      <w:r>
        <w:rPr>
          <w:rFonts w:ascii="Arial" w:cs="Arial" w:eastAsia="Arial" w:hAnsi="Arial"/>
          <w:sz w:val="13"/>
          <w:szCs w:val="13"/>
          <w:color w:val="auto"/>
        </w:rPr>
        <w:t>Please refer to the tables above, as well as the consolidated and segment highlight sections in the detailed earnings release for additional discussion of the factors impacting the year-over-comparisons.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1115" w:right="299" w:bottom="1440" w:gutter="0" w:footer="0" w:header="0"/>
        </w:sectPr>
      </w:pPr>
    </w:p>
    <w:bookmarkStart w:id="5" w:name="page6"/>
    <w:bookmarkEnd w:id="5"/>
    <w:p>
      <w:pPr>
        <w:spacing w:after="0"/>
        <w:rPr>
          <w:sz w:val="20"/>
          <w:szCs w:val="20"/>
          <w:color w:val="auto"/>
        </w:rPr>
      </w:pPr>
      <w:r>
        <w:rPr>
          <w:rFonts w:ascii="Arial" w:cs="Arial" w:eastAsia="Arial" w:hAnsi="Arial"/>
          <w:sz w:val="13"/>
          <w:szCs w:val="13"/>
          <w:color w:val="auto"/>
        </w:rPr>
        <w:t>In addition, below is a summary of key consolidated and segment statistics comparing 1Q21 to 1Q20.</w:t>
      </w:r>
    </w:p>
    <w:p>
      <w:pPr>
        <w:spacing w:after="0" w:line="148" w:lineRule="exact"/>
        <w:rPr>
          <w:sz w:val="20"/>
          <w:szCs w:val="20"/>
          <w:color w:val="auto"/>
        </w:rPr>
      </w:pPr>
    </w:p>
    <w:tbl>
      <w:tblPr>
        <w:tblLayout w:type="fixed"/>
        <w:tblInd w:w="1810" w:type="dxa"/>
        <w:tblCellMar>
          <w:top w:w="0" w:type="dxa"/>
          <w:left w:w="0" w:type="dxa"/>
          <w:bottom w:w="0" w:type="dxa"/>
          <w:right w:w="0" w:type="dxa"/>
        </w:tblCellMar>
      </w:tblPr>
      <w:tr>
        <w:trPr>
          <w:trHeight w:val="136"/>
        </w:trPr>
        <w:tc>
          <w:tcPr>
            <w:tcW w:w="3980" w:type="dxa"/>
            <w:vAlign w:val="bottom"/>
            <w:tcBorders>
              <w:top w:val="single" w:sz="8" w:color="auto"/>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b w:val="1"/>
                <w:bCs w:val="1"/>
                <w:color w:val="auto"/>
              </w:rPr>
              <w:t>Humana Inc. Summary of Quarterly Results</w:t>
            </w:r>
          </w:p>
        </w:tc>
        <w:tc>
          <w:tcPr>
            <w:tcW w:w="1860" w:type="dxa"/>
            <w:vAlign w:val="bottom"/>
            <w:tcBorders>
              <w:top w:val="single" w:sz="8" w:color="auto"/>
              <w:right w:val="single" w:sz="8" w:color="auto"/>
            </w:tcBorders>
            <w:gridSpan w:val="2"/>
            <w:vMerge w:val="restart"/>
            <w:shd w:val="clear" w:color="auto" w:fill="EAEAEA"/>
          </w:tcPr>
          <w:p>
            <w:pPr>
              <w:jc w:val="right"/>
              <w:ind w:right="666"/>
              <w:spacing w:after="0"/>
              <w:rPr>
                <w:sz w:val="20"/>
                <w:szCs w:val="20"/>
                <w:color w:val="auto"/>
              </w:rPr>
            </w:pPr>
            <w:r>
              <w:rPr>
                <w:rFonts w:ascii="Arial" w:cs="Arial" w:eastAsia="Arial" w:hAnsi="Arial"/>
                <w:sz w:val="11"/>
                <w:szCs w:val="11"/>
                <w:b w:val="1"/>
                <w:bCs w:val="1"/>
                <w:color w:val="auto"/>
              </w:rPr>
              <w:t>1Q21 (a)</w:t>
            </w:r>
          </w:p>
        </w:tc>
        <w:tc>
          <w:tcPr>
            <w:tcW w:w="186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(dollars in millions, except per share amounts)</w:t>
            </w:r>
          </w:p>
        </w:tc>
        <w:tc>
          <w:tcPr>
            <w:tcW w:w="1860" w:type="dxa"/>
            <w:vAlign w:val="bottom"/>
            <w:tcBorders>
              <w:bottom w:val="single" w:sz="8" w:color="auto"/>
              <w:right w:val="single" w:sz="8" w:color="auto"/>
            </w:tcBorders>
            <w:gridSpan w:val="2"/>
            <w:vMerge w:val="continue"/>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jc w:val="right"/>
              <w:ind w:right="666"/>
              <w:spacing w:after="0"/>
              <w:rPr>
                <w:sz w:val="20"/>
                <w:szCs w:val="20"/>
                <w:color w:val="auto"/>
              </w:rPr>
            </w:pPr>
            <w:r>
              <w:rPr>
                <w:rFonts w:ascii="Arial" w:cs="Arial" w:eastAsia="Arial" w:hAnsi="Arial"/>
                <w:sz w:val="11"/>
                <w:szCs w:val="11"/>
                <w:color w:val="auto"/>
              </w:rPr>
              <w:t>1Q20 (b)</w:t>
            </w:r>
          </w:p>
        </w:tc>
        <w:tc>
          <w:tcPr>
            <w:tcW w:w="0" w:type="dxa"/>
            <w:vAlign w:val="bottom"/>
          </w:tcPr>
          <w:p>
            <w:pPr>
              <w:spacing w:after="0"/>
              <w:rPr>
                <w:sz w:val="1"/>
                <w:szCs w:val="1"/>
                <w:color w:val="auto"/>
              </w:rPr>
            </w:pPr>
          </w:p>
        </w:tc>
      </w:tr>
      <w:tr>
        <w:trPr>
          <w:trHeight w:val="134"/>
        </w:trPr>
        <w:tc>
          <w:tcPr>
            <w:tcW w:w="398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Consolidated results:</w:t>
            </w:r>
          </w:p>
        </w:tc>
        <w:tc>
          <w:tcPr>
            <w:tcW w:w="1740" w:type="dxa"/>
            <w:vAlign w:val="bottom"/>
            <w:tcBorders>
              <w:bottom w:val="single" w:sz="8" w:color="auto"/>
            </w:tcBorders>
            <w:shd w:val="clear" w:color="auto" w:fill="EAEAEA"/>
          </w:tcPr>
          <w:p>
            <w:pPr>
              <w:spacing w:after="0"/>
              <w:rPr>
                <w:sz w:val="11"/>
                <w:szCs w:val="11"/>
                <w:color w:val="auto"/>
              </w:rPr>
            </w:pPr>
          </w:p>
        </w:tc>
        <w:tc>
          <w:tcPr>
            <w:tcW w:w="12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$20,668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$18,935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Adjusted</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$20,753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$18,935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Pretax income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$1,040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$717</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Pretax income - Adjusted</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$1,255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$1,035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Diluted EPS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$6.39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$3.56</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Diluted EPS - Adjusted</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$7.67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$5.40</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85.9</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85.1 %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9.7</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11.3 %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cash flows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($837)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Parent company cash and short term investments</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$547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$2,353</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Debt-to-total capitalization</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33.9 %</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39.2 %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Retail segment results:</w:t>
            </w:r>
          </w:p>
        </w:tc>
        <w:tc>
          <w:tcPr>
            <w:tcW w:w="1740" w:type="dxa"/>
            <w:vAlign w:val="bottom"/>
            <w:tcBorders>
              <w:bottom w:val="single" w:sz="8" w:color="auto"/>
            </w:tcBorders>
            <w:shd w:val="clear" w:color="auto" w:fill="EAEAEA"/>
          </w:tcPr>
          <w:p>
            <w:pPr>
              <w:spacing w:after="0"/>
              <w:rPr>
                <w:sz w:val="11"/>
                <w:szCs w:val="11"/>
                <w:color w:val="auto"/>
              </w:rPr>
            </w:pPr>
          </w:p>
        </w:tc>
        <w:tc>
          <w:tcPr>
            <w:tcW w:w="12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$18,648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$16,762</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87.7</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86.6 %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7.8</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9.2 %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$794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$685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Adjusted</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$798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$689</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Group and Specialty segment results:</w:t>
            </w:r>
          </w:p>
        </w:tc>
        <w:tc>
          <w:tcPr>
            <w:tcW w:w="1740" w:type="dxa"/>
            <w:vAlign w:val="bottom"/>
            <w:tcBorders>
              <w:bottom w:val="single" w:sz="8" w:color="auto"/>
            </w:tcBorders>
            <w:shd w:val="clear" w:color="auto" w:fill="EAEAEA"/>
          </w:tcPr>
          <w:p>
            <w:pPr>
              <w:spacing w:after="0"/>
              <w:rPr>
                <w:sz w:val="11"/>
                <w:szCs w:val="11"/>
                <w:color w:val="auto"/>
              </w:rPr>
            </w:pPr>
          </w:p>
        </w:tc>
        <w:tc>
          <w:tcPr>
            <w:tcW w:w="12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$1,737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$1,865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74.7</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79.1 %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22.9</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23.1 %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$174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Adjusted</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$175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Healthcare Services segment results:</w:t>
            </w:r>
          </w:p>
        </w:tc>
        <w:tc>
          <w:tcPr>
            <w:tcW w:w="1740" w:type="dxa"/>
            <w:vAlign w:val="bottom"/>
            <w:tcBorders>
              <w:bottom w:val="single" w:sz="8" w:color="auto"/>
            </w:tcBorders>
            <w:shd w:val="clear" w:color="auto" w:fill="EAEAEA"/>
          </w:tcPr>
          <w:p>
            <w:pPr>
              <w:spacing w:after="0"/>
              <w:rPr>
                <w:sz w:val="11"/>
                <w:szCs w:val="11"/>
                <w:color w:val="auto"/>
              </w:rPr>
            </w:pPr>
          </w:p>
        </w:tc>
        <w:tc>
          <w:tcPr>
            <w:tcW w:w="12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$7,198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$7,085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96.0 %</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96.0 %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$269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08"/>
        </w:trPr>
        <w:tc>
          <w:tcPr>
            <w:tcW w:w="3980" w:type="dxa"/>
            <w:vAlign w:val="bottom"/>
            <w:tcBorders>
              <w:left w:val="single" w:sz="8" w:color="auto"/>
              <w:right w:val="single" w:sz="8" w:color="auto"/>
            </w:tcBorders>
          </w:tcPr>
          <w:p>
            <w:pPr>
              <w:ind w:left="20"/>
              <w:spacing w:after="0" w:line="109" w:lineRule="exact"/>
              <w:rPr>
                <w:sz w:val="20"/>
                <w:szCs w:val="20"/>
                <w:color w:val="auto"/>
              </w:rPr>
            </w:pPr>
            <w:r>
              <w:rPr>
                <w:rFonts w:ascii="Arial" w:cs="Arial" w:eastAsia="Arial" w:hAnsi="Arial"/>
                <w:sz w:val="11"/>
                <w:szCs w:val="11"/>
                <w:color w:val="auto"/>
                <w:w w:val="99"/>
              </w:rPr>
              <w:t>Adjusted earnings before interest, taxes, depreciation and amortization (Adjusted</w:t>
            </w:r>
          </w:p>
        </w:tc>
        <w:tc>
          <w:tcPr>
            <w:tcW w:w="1860" w:type="dxa"/>
            <w:vAlign w:val="bottom"/>
            <w:tcBorders>
              <w:right w:val="single" w:sz="8" w:color="auto"/>
            </w:tcBorders>
            <w:gridSpan w:val="2"/>
            <w:vMerge w:val="restart"/>
            <w:shd w:val="clear" w:color="auto" w:fill="EAEAEA"/>
          </w:tcPr>
          <w:p>
            <w:pPr>
              <w:jc w:val="right"/>
              <w:spacing w:after="0"/>
              <w:rPr>
                <w:sz w:val="20"/>
                <w:szCs w:val="20"/>
                <w:color w:val="auto"/>
              </w:rPr>
            </w:pPr>
            <w:r>
              <w:rPr>
                <w:rFonts w:ascii="Arial" w:cs="Arial" w:eastAsia="Arial" w:hAnsi="Arial"/>
                <w:sz w:val="11"/>
                <w:szCs w:val="11"/>
                <w:b w:val="1"/>
                <w:bCs w:val="1"/>
                <w:color w:val="auto"/>
              </w:rPr>
              <w:t>$329</w:t>
            </w: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EBITDA) (c)</w:t>
            </w:r>
          </w:p>
        </w:tc>
        <w:tc>
          <w:tcPr>
            <w:tcW w:w="1860" w:type="dxa"/>
            <w:vAlign w:val="bottom"/>
            <w:tcBorders>
              <w:bottom w:val="single" w:sz="8" w:color="auto"/>
              <w:right w:val="single" w:sz="8" w:color="auto"/>
            </w:tcBorders>
            <w:gridSpan w:val="2"/>
            <w:vMerge w:val="continue"/>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$319</w:t>
            </w:r>
          </w:p>
        </w:tc>
        <w:tc>
          <w:tcPr>
            <w:tcW w:w="0" w:type="dxa"/>
            <w:vAlign w:val="bottom"/>
          </w:tcPr>
          <w:p>
            <w:pPr>
              <w:spacing w:after="0"/>
              <w:rPr>
                <w:sz w:val="1"/>
                <w:szCs w:val="1"/>
                <w:color w:val="auto"/>
              </w:rPr>
            </w:pPr>
          </w:p>
        </w:tc>
      </w:tr>
    </w:tbl>
    <w:p>
      <w:pPr>
        <w:spacing w:after="0" w:line="34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159"/>
          </w:cols>
          <w:pgMar w:left="300" w:top="929" w:right="1440"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2021 Earnings Guidance</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Humana is revising its GAAP EPS guidance range for the year ending December 31, 2021 (FY 2021) to $ 19.62 to $20.12 from the previous range of $20.82 to $21.32, reflecting the 1Q21 impact of the company's non-consolidating minority interest put/call valuation adjustments and the change in the fair market value of publicly-traded equity securities held by the company. While continuing to acknowledge the heightened uncertainty surrounding the ongoing pandemic, Humana is maintaining its FY 2021 Adjusted EPS guidance range of $21.25 to $21.75. GAAP and Adjusted results for FY 2020 are also shown for comparison.</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8560" w:type="dxa"/>
            <w:vAlign w:val="bottom"/>
            <w:tcBorders>
              <w:top w:val="single" w:sz="8" w:color="auto"/>
              <w:left w:val="single" w:sz="8" w:color="auto"/>
              <w:right w:val="single" w:sz="8" w:color="auto"/>
            </w:tcBorders>
            <w:vMerge w:val="restart"/>
            <w:shd w:val="clear" w:color="auto" w:fill="EAEAEA"/>
          </w:tcPr>
          <w:p>
            <w:pPr>
              <w:ind w:left="3440"/>
              <w:spacing w:after="0"/>
              <w:rPr>
                <w:sz w:val="20"/>
                <w:szCs w:val="20"/>
                <w:color w:val="auto"/>
              </w:rPr>
            </w:pPr>
            <w:r>
              <w:rPr>
                <w:rFonts w:ascii="Arial" w:cs="Arial" w:eastAsia="Arial" w:hAnsi="Arial"/>
                <w:sz w:val="10"/>
                <w:szCs w:val="10"/>
                <w:b w:val="1"/>
                <w:bCs w:val="1"/>
                <w:color w:val="auto"/>
              </w:rPr>
              <w:t>Diluted earnings per common share</w:t>
            </w:r>
          </w:p>
        </w:tc>
        <w:tc>
          <w:tcPr>
            <w:tcW w:w="1420" w:type="dxa"/>
            <w:vAlign w:val="bottom"/>
            <w:tcBorders>
              <w:top w:val="single" w:sz="8" w:color="auto"/>
              <w:right w:val="single" w:sz="8" w:color="auto"/>
            </w:tcBorders>
            <w:shd w:val="clear" w:color="auto" w:fill="EAEAEA"/>
          </w:tcPr>
          <w:p>
            <w:pPr>
              <w:jc w:val="right"/>
              <w:ind w:right="508"/>
              <w:spacing w:after="0"/>
              <w:rPr>
                <w:sz w:val="20"/>
                <w:szCs w:val="20"/>
                <w:color w:val="auto"/>
              </w:rPr>
            </w:pPr>
            <w:r>
              <w:rPr>
                <w:rFonts w:ascii="Arial" w:cs="Arial" w:eastAsia="Arial" w:hAnsi="Arial"/>
                <w:sz w:val="10"/>
                <w:szCs w:val="10"/>
                <w:b w:val="1"/>
                <w:bCs w:val="1"/>
                <w:color w:val="auto"/>
              </w:rPr>
              <w:t>FY 2021</w:t>
            </w:r>
          </w:p>
        </w:tc>
        <w:tc>
          <w:tcPr>
            <w:tcW w:w="1280" w:type="dxa"/>
            <w:vAlign w:val="bottom"/>
            <w:tcBorders>
              <w:top w:val="single" w:sz="8" w:color="auto"/>
              <w:right w:val="single" w:sz="8" w:color="auto"/>
            </w:tcBorders>
            <w:vMerge w:val="restart"/>
            <w:shd w:val="clear" w:color="auto" w:fill="EAEAEA"/>
          </w:tcPr>
          <w:p>
            <w:pPr>
              <w:jc w:val="right"/>
              <w:ind w:right="347"/>
              <w:spacing w:after="0"/>
              <w:rPr>
                <w:sz w:val="20"/>
                <w:szCs w:val="20"/>
                <w:color w:val="auto"/>
              </w:rPr>
            </w:pPr>
            <w:r>
              <w:rPr>
                <w:rFonts w:ascii="Arial" w:cs="Arial" w:eastAsia="Arial" w:hAnsi="Arial"/>
                <w:sz w:val="10"/>
                <w:szCs w:val="10"/>
                <w:color w:val="auto"/>
              </w:rPr>
              <w:t>FY 2020 (e)</w:t>
            </w:r>
          </w:p>
        </w:tc>
        <w:tc>
          <w:tcPr>
            <w:tcW w:w="0" w:type="dxa"/>
            <w:vAlign w:val="bottom"/>
          </w:tcPr>
          <w:p>
            <w:pPr>
              <w:spacing w:after="0"/>
              <w:rPr>
                <w:sz w:val="1"/>
                <w:szCs w:val="1"/>
                <w:color w:val="auto"/>
              </w:rPr>
            </w:pPr>
          </w:p>
        </w:tc>
      </w:tr>
      <w:tr>
        <w:trPr>
          <w:trHeight w:val="117"/>
        </w:trPr>
        <w:tc>
          <w:tcPr>
            <w:tcW w:w="8560" w:type="dxa"/>
            <w:vAlign w:val="bottom"/>
            <w:tcBorders>
              <w:left w:val="single" w:sz="8" w:color="auto"/>
              <w:bottom w:val="single" w:sz="8" w:color="auto"/>
              <w:right w:val="single" w:sz="8" w:color="auto"/>
            </w:tcBorders>
            <w:vMerge w:val="continue"/>
            <w:shd w:val="clear" w:color="auto" w:fill="EAEAEA"/>
          </w:tcPr>
          <w:p>
            <w:pPr>
              <w:spacing w:after="0"/>
              <w:rPr>
                <w:sz w:val="10"/>
                <w:szCs w:val="10"/>
                <w:color w:val="auto"/>
              </w:rPr>
            </w:pPr>
          </w:p>
        </w:tc>
        <w:tc>
          <w:tcPr>
            <w:tcW w:w="1420" w:type="dxa"/>
            <w:vAlign w:val="bottom"/>
            <w:tcBorders>
              <w:bottom w:val="single" w:sz="8" w:color="auto"/>
              <w:right w:val="single" w:sz="8" w:color="auto"/>
            </w:tcBorders>
            <w:shd w:val="clear" w:color="auto" w:fill="EAEAEA"/>
          </w:tcPr>
          <w:p>
            <w:pPr>
              <w:jc w:val="right"/>
              <w:ind w:right="368"/>
              <w:spacing w:after="0"/>
              <w:rPr>
                <w:sz w:val="20"/>
                <w:szCs w:val="20"/>
                <w:color w:val="auto"/>
              </w:rPr>
            </w:pPr>
            <w:r>
              <w:rPr>
                <w:rFonts w:ascii="Arial" w:cs="Arial" w:eastAsia="Arial" w:hAnsi="Arial"/>
                <w:sz w:val="10"/>
                <w:szCs w:val="10"/>
                <w:b w:val="1"/>
                <w:bCs w:val="1"/>
                <w:color w:val="auto"/>
              </w:rPr>
              <w:t>Guidance (d)</w:t>
            </w:r>
          </w:p>
        </w:tc>
        <w:tc>
          <w:tcPr>
            <w:tcW w:w="1280" w:type="dxa"/>
            <w:vAlign w:val="bottom"/>
            <w:tcBorders>
              <w:bottom w:val="single" w:sz="8" w:color="auto"/>
              <w:right w:val="single" w:sz="8" w:color="auto"/>
            </w:tcBorders>
            <w:vMerge w:val="continue"/>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GAAP</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$19.62 to $20.12</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color w:val="auto"/>
              </w:rPr>
              <w:t>$25.31</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Amortization of identifiable intangibles</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~$0.43</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color w:val="auto"/>
              </w:rPr>
              <w:t>0.51</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Put/call valuation adjustments associated with company's non-consolidating minority interest investments</w:t>
            </w:r>
          </w:p>
        </w:tc>
        <w:tc>
          <w:tcPr>
            <w:tcW w:w="14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0.69</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color w:val="auto"/>
              </w:rPr>
              <w:t>0.60</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Change in fair market value of publicly-traded equity securities</w:t>
            </w:r>
          </w:p>
        </w:tc>
        <w:tc>
          <w:tcPr>
            <w:tcW w:w="14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0.51</w:t>
            </w:r>
          </w:p>
        </w:tc>
        <w:tc>
          <w:tcPr>
            <w:tcW w:w="1280" w:type="dxa"/>
            <w:vAlign w:val="bottom"/>
            <w:tcBorders>
              <w:bottom w:val="single" w:sz="8" w:color="auto"/>
              <w:right w:val="single" w:sz="8" w:color="auto"/>
            </w:tcBorders>
          </w:tcPr>
          <w:p>
            <w:pPr>
              <w:jc w:val="right"/>
              <w:ind w:right="7"/>
              <w:spacing w:after="0"/>
              <w:rPr>
                <w:sz w:val="20"/>
                <w:szCs w:val="20"/>
                <w:color w:val="auto"/>
              </w:rPr>
            </w:pPr>
            <w:r>
              <w:rPr>
                <w:rFonts w:ascii="Arial" w:cs="Arial" w:eastAsia="Arial" w:hAnsi="Arial"/>
                <w:sz w:val="11"/>
                <w:szCs w:val="11"/>
                <w:color w:val="auto"/>
              </w:rPr>
              <w:t>(4.32)</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Receipt of commercial risk corridor receivables previously written off, net</w:t>
            </w:r>
          </w:p>
        </w:tc>
        <w:tc>
          <w:tcPr>
            <w:tcW w:w="14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w:t>
            </w:r>
          </w:p>
        </w:tc>
        <w:tc>
          <w:tcPr>
            <w:tcW w:w="1280" w:type="dxa"/>
            <w:vAlign w:val="bottom"/>
            <w:tcBorders>
              <w:bottom w:val="single" w:sz="8" w:color="auto"/>
              <w:right w:val="single" w:sz="8" w:color="auto"/>
            </w:tcBorders>
          </w:tcPr>
          <w:p>
            <w:pPr>
              <w:jc w:val="right"/>
              <w:ind w:right="7"/>
              <w:spacing w:after="0"/>
              <w:rPr>
                <w:sz w:val="20"/>
                <w:szCs w:val="20"/>
                <w:color w:val="auto"/>
              </w:rPr>
            </w:pPr>
            <w:r>
              <w:rPr>
                <w:rFonts w:ascii="Arial" w:cs="Arial" w:eastAsia="Arial" w:hAnsi="Arial"/>
                <w:sz w:val="11"/>
                <w:szCs w:val="11"/>
                <w:color w:val="auto"/>
              </w:rPr>
              <w:t>(3.35)</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Adjusted (non-GAAP) – FY 2021 projected; FY 2020 reported</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$21.25 to $21.75</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color w:val="auto"/>
              </w:rPr>
              <w:t>$18.75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Detailed Press Release</w:t>
      </w:r>
    </w:p>
    <w:p>
      <w:pPr>
        <w:spacing w:after="0" w:line="163" w:lineRule="exact"/>
        <w:rPr>
          <w:sz w:val="20"/>
          <w:szCs w:val="20"/>
          <w:color w:val="auto"/>
        </w:rPr>
      </w:pPr>
    </w:p>
    <w:p>
      <w:pPr>
        <w:ind w:right="320"/>
        <w:spacing w:after="0" w:line="258" w:lineRule="auto"/>
        <w:rPr>
          <w:sz w:val="20"/>
          <w:szCs w:val="20"/>
          <w:color w:val="auto"/>
        </w:rPr>
      </w:pPr>
      <w:r>
        <w:rPr>
          <w:rFonts w:ascii="Arial" w:cs="Arial" w:eastAsia="Arial" w:hAnsi="Arial"/>
          <w:sz w:val="13"/>
          <w:szCs w:val="13"/>
          <w:color w:val="auto"/>
        </w:rPr>
        <w:t>Humana’s full earnings press release including the statistical pages has been posted to the company’s Investor Relations site and may be accessed at https://humana.gcs-web.com/ or via a current report on Form 8-K filed by the company with the Securities and Exchange Commission this morning (available at www.sec.gov or on the company’s website).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Humana will host a conference call at 9:00 a.m. Eastern time today to discuss its financial results for the quarter and the company’s expectations for future earnings.</w:t>
      </w:r>
    </w:p>
    <w:p>
      <w:pPr>
        <w:spacing w:after="0" w:line="148" w:lineRule="exact"/>
        <w:rPr>
          <w:sz w:val="20"/>
          <w:szCs w:val="20"/>
          <w:color w:val="auto"/>
        </w:rPr>
      </w:pPr>
    </w:p>
    <w:p>
      <w:pPr>
        <w:ind w:right="300"/>
        <w:spacing w:after="0" w:line="251" w:lineRule="auto"/>
        <w:rPr>
          <w:sz w:val="20"/>
          <w:szCs w:val="20"/>
          <w:color w:val="auto"/>
        </w:rPr>
      </w:pPr>
      <w:r>
        <w:rPr>
          <w:rFonts w:ascii="Arial" w:cs="Arial" w:eastAsia="Arial" w:hAnsi="Arial"/>
          <w:sz w:val="13"/>
          <w:szCs w:val="13"/>
          <w:color w:val="auto"/>
        </w:rPr>
        <w:t>All parties interested in the company’s 1Q21 earnings conference call are invited to dial 888-625-7430. No password is required. The audio-only webcast of the 1Q21 earnings call may be accessed via Humana’s Investor Relations page at humana.com. The company suggests participants for both the conference call and those listening via the web dial in or sign on at least 15 minutes in advance of the call.</w:t>
      </w:r>
    </w:p>
    <w:p>
      <w:pPr>
        <w:spacing w:after="0" w:line="134" w:lineRule="exact"/>
        <w:rPr>
          <w:sz w:val="20"/>
          <w:szCs w:val="20"/>
          <w:color w:val="auto"/>
        </w:rPr>
      </w:pPr>
    </w:p>
    <w:p>
      <w:pPr>
        <w:jc w:val="both"/>
        <w:ind w:right="160"/>
        <w:spacing w:after="0" w:line="251" w:lineRule="auto"/>
        <w:rPr>
          <w:sz w:val="20"/>
          <w:szCs w:val="20"/>
          <w:color w:val="auto"/>
        </w:rPr>
      </w:pPr>
      <w:r>
        <w:rPr>
          <w:rFonts w:ascii="Arial" w:cs="Arial" w:eastAsia="Arial" w:hAnsi="Arial"/>
          <w:sz w:val="13"/>
          <w:szCs w:val="13"/>
          <w:color w:val="auto"/>
        </w:rPr>
        <w:t>For those unable to participate in the live event, the archive will be available in the Historical Webcasts and Presentations section of the Investor Relations page at humana.com, approximately two hours following the live webcast. Telephone replays will also be available from approximately 12:15 p.m. Eastern time on April 28, 2021 until 10:59 p.m. Eastern time on June 26, 2021 and can be accessed by dialing 855-859-2056 and providing the conference ID #9581139.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913" w:right="299" w:bottom="1440" w:gutter="0" w:footer="0" w:header="0"/>
        </w:sectPr>
      </w:pPr>
    </w:p>
    <w:bookmarkStart w:id="7" w:name="page8"/>
    <w:bookmarkEnd w:id="7"/>
    <w:p>
      <w:pPr>
        <w:ind w:left="8"/>
        <w:spacing w:after="0"/>
        <w:rPr>
          <w:sz w:val="20"/>
          <w:szCs w:val="20"/>
          <w:color w:val="auto"/>
        </w:rPr>
      </w:pPr>
      <w:r>
        <w:rPr>
          <w:rFonts w:ascii="Arial" w:cs="Arial" w:eastAsia="Arial" w:hAnsi="Arial"/>
          <w:sz w:val="17"/>
          <w:szCs w:val="17"/>
          <w:b w:val="1"/>
          <w:bCs w:val="1"/>
          <w:u w:val="single" w:color="auto"/>
          <w:color w:val="auto"/>
        </w:rPr>
        <w:t>Footnotes</w:t>
      </w:r>
    </w:p>
    <w:p>
      <w:pPr>
        <w:spacing w:after="0" w:line="55" w:lineRule="exact"/>
        <w:rPr>
          <w:sz w:val="20"/>
          <w:szCs w:val="20"/>
          <w:color w:val="auto"/>
        </w:rPr>
      </w:pPr>
    </w:p>
    <w:p>
      <w:pPr>
        <w:ind w:left="188" w:hanging="188"/>
        <w:spacing w:after="0"/>
        <w:tabs>
          <w:tab w:leader="none" w:pos="188" w:val="left"/>
        </w:tabs>
        <w:numPr>
          <w:ilvl w:val="0"/>
          <w:numId w:val="3"/>
        </w:numPr>
        <w:rPr>
          <w:rFonts w:ascii="Arial" w:cs="Arial" w:eastAsia="Arial" w:hAnsi="Arial"/>
          <w:sz w:val="13"/>
          <w:szCs w:val="13"/>
          <w:color w:val="auto"/>
        </w:rPr>
      </w:pPr>
      <w:r>
        <w:rPr>
          <w:rFonts w:ascii="Arial" w:cs="Arial" w:eastAsia="Arial" w:hAnsi="Arial"/>
          <w:sz w:val="13"/>
          <w:szCs w:val="13"/>
          <w:u w:val="single" w:color="auto"/>
          <w:color w:val="auto"/>
        </w:rPr>
        <w:t>1Q21 Adjusted results exclude the following:</w:t>
      </w:r>
    </w:p>
    <w:p>
      <w:pPr>
        <w:spacing w:after="0" w:line="39" w:lineRule="exact"/>
        <w:rPr>
          <w:rFonts w:ascii="Arial" w:cs="Arial" w:eastAsia="Arial" w:hAnsi="Arial"/>
          <w:sz w:val="13"/>
          <w:szCs w:val="13"/>
          <w:color w:val="auto"/>
        </w:rPr>
      </w:pPr>
    </w:p>
    <w:p>
      <w:pPr>
        <w:ind w:left="648" w:right="60" w:hanging="162"/>
        <w:spacing w:after="0" w:line="245" w:lineRule="auto"/>
        <w:tabs>
          <w:tab w:leader="none" w:pos="622" w:val="left"/>
        </w:tabs>
        <w:numPr>
          <w:ilvl w:val="3"/>
          <w:numId w:val="3"/>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$15 million pretax, or $0.08 per diluted common share; GAAP measures affected in this release include consolidated pretax, EPS, and segment earnings (for respective amortization expense for the Retail and Group and Specialty segments).</w:t>
      </w:r>
    </w:p>
    <w:p>
      <w:pPr>
        <w:ind w:left="648" w:right="260" w:hanging="162"/>
        <w:spacing w:after="0" w:line="245" w:lineRule="auto"/>
        <w:tabs>
          <w:tab w:leader="none" w:pos="622" w:val="left"/>
        </w:tabs>
        <w:numPr>
          <w:ilvl w:val="3"/>
          <w:numId w:val="3"/>
        </w:numPr>
        <w:rPr>
          <w:rFonts w:ascii="Arial" w:cs="Arial" w:eastAsia="Arial" w:hAnsi="Arial"/>
          <w:sz w:val="13"/>
          <w:szCs w:val="13"/>
          <w:color w:val="auto"/>
        </w:rPr>
      </w:pPr>
      <w:r>
        <w:rPr>
          <w:rFonts w:ascii="Arial" w:cs="Arial" w:eastAsia="Arial" w:hAnsi="Arial"/>
          <w:sz w:val="13"/>
          <w:szCs w:val="13"/>
          <w:color w:val="auto"/>
        </w:rPr>
        <w:t>Put/call valuation adjustments of approximately $115 million, or $0.69 per diluted common share, associated with Humana’s non-consolidating minority interest investments. GAAP measures affected in this release include consolidated pretax and EPS.</w:t>
      </w:r>
    </w:p>
    <w:p>
      <w:pPr>
        <w:ind w:left="648" w:right="20" w:hanging="216"/>
        <w:spacing w:after="0" w:line="248" w:lineRule="auto"/>
        <w:tabs>
          <w:tab w:leader="none" w:pos="622" w:val="left"/>
        </w:tabs>
        <w:numPr>
          <w:ilvl w:val="2"/>
          <w:numId w:val="3"/>
        </w:numPr>
        <w:rPr>
          <w:rFonts w:ascii="Arial" w:cs="Arial" w:eastAsia="Arial" w:hAnsi="Arial"/>
          <w:sz w:val="13"/>
          <w:szCs w:val="13"/>
          <w:color w:val="auto"/>
        </w:rPr>
      </w:pPr>
      <w:r>
        <w:rPr>
          <w:rFonts w:ascii="Arial" w:cs="Arial" w:eastAsia="Arial" w:hAnsi="Arial"/>
          <w:sz w:val="13"/>
          <w:szCs w:val="13"/>
          <w:color w:val="auto"/>
        </w:rPr>
        <w:t>Change in fair market value of publicly-traded equity securities of $85 million, or $0.51 per diluted common share. Humana adjusts for the market gains and losses of its publicly-traded equity investments (primarily Oak Street Health, Inc.) each period because while investments are strategic decisions for the company, management's measure of performance is primarily focused on operational results rather than fair value of such investments. Also, management does not forecast changes in fair value of its equity investments. Accordingly, the company believes it is useful to adjust GAAP EPS for the market gains and losses of publicly-traded equity securities. GAAP measures affected in this release include consolidated pretax, EPS, and consolidated revenues.</w:t>
      </w:r>
    </w:p>
    <w:p>
      <w:pPr>
        <w:spacing w:after="0" w:line="154" w:lineRule="exact"/>
        <w:rPr>
          <w:rFonts w:ascii="Arial" w:cs="Arial" w:eastAsia="Arial" w:hAnsi="Arial"/>
          <w:sz w:val="13"/>
          <w:szCs w:val="13"/>
          <w:color w:val="auto"/>
        </w:rPr>
      </w:pPr>
    </w:p>
    <w:p>
      <w:pPr>
        <w:ind w:left="188" w:hanging="188"/>
        <w:spacing w:after="0"/>
        <w:tabs>
          <w:tab w:leader="none" w:pos="188" w:val="left"/>
        </w:tabs>
        <w:numPr>
          <w:ilvl w:val="0"/>
          <w:numId w:val="3"/>
        </w:numPr>
        <w:rPr>
          <w:rFonts w:ascii="Arial" w:cs="Arial" w:eastAsia="Arial" w:hAnsi="Arial"/>
          <w:sz w:val="13"/>
          <w:szCs w:val="13"/>
          <w:color w:val="auto"/>
        </w:rPr>
      </w:pPr>
      <w:r>
        <w:rPr>
          <w:rFonts w:ascii="Arial" w:cs="Arial" w:eastAsia="Arial" w:hAnsi="Arial"/>
          <w:sz w:val="13"/>
          <w:szCs w:val="13"/>
          <w:u w:val="single" w:color="auto"/>
          <w:color w:val="auto"/>
        </w:rPr>
        <w:t>1Q20 Adjusted results exclude the following:</w:t>
      </w:r>
    </w:p>
    <w:p>
      <w:pPr>
        <w:spacing w:after="0" w:line="3" w:lineRule="exact"/>
        <w:rPr>
          <w:rFonts w:ascii="Arial" w:cs="Arial" w:eastAsia="Arial" w:hAnsi="Arial"/>
          <w:sz w:val="13"/>
          <w:szCs w:val="13"/>
          <w:color w:val="auto"/>
        </w:rPr>
      </w:pPr>
    </w:p>
    <w:p>
      <w:pPr>
        <w:ind w:left="708" w:right="780" w:hanging="222"/>
        <w:spacing w:after="0" w:line="245" w:lineRule="auto"/>
        <w:tabs>
          <w:tab w:leader="none" w:pos="682" w:val="left"/>
        </w:tabs>
        <w:numPr>
          <w:ilvl w:val="3"/>
          <w:numId w:val="3"/>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$21 million pretax, or $0.12 per diluted common share; GAAP measures affected in this release include consolidated pretax, EPS, and segment earnings (for respective amortization expense for the Retail and Group and Specialty segments).</w:t>
      </w:r>
    </w:p>
    <w:p>
      <w:pPr>
        <w:ind w:left="708" w:right="200" w:hanging="222"/>
        <w:spacing w:after="0" w:line="258" w:lineRule="auto"/>
        <w:tabs>
          <w:tab w:leader="none" w:pos="682" w:val="left"/>
        </w:tabs>
        <w:numPr>
          <w:ilvl w:val="3"/>
          <w:numId w:val="3"/>
        </w:numPr>
        <w:rPr>
          <w:rFonts w:ascii="Arial" w:cs="Arial" w:eastAsia="Arial" w:hAnsi="Arial"/>
          <w:sz w:val="13"/>
          <w:szCs w:val="13"/>
          <w:color w:val="auto"/>
        </w:rPr>
      </w:pPr>
      <w:r>
        <w:rPr>
          <w:rFonts w:ascii="Arial" w:cs="Arial" w:eastAsia="Arial" w:hAnsi="Arial"/>
          <w:sz w:val="13"/>
          <w:szCs w:val="13"/>
          <w:color w:val="auto"/>
        </w:rPr>
        <w:t>Put/call valuation adjustments of approximately $297 million, or $1.72 per diluted common share, associated with Humana’s non-consolidating minority interest investments. GAAP measures affected in this release include consolidated pretax and EPS.</w:t>
      </w:r>
    </w:p>
    <w:p>
      <w:pPr>
        <w:spacing w:after="0" w:line="146" w:lineRule="exact"/>
        <w:rPr>
          <w:rFonts w:ascii="Arial" w:cs="Arial" w:eastAsia="Arial" w:hAnsi="Arial"/>
          <w:sz w:val="13"/>
          <w:szCs w:val="13"/>
          <w:color w:val="auto"/>
        </w:rPr>
      </w:pPr>
    </w:p>
    <w:p>
      <w:pPr>
        <w:ind w:left="388" w:hanging="388"/>
        <w:spacing w:after="0" w:line="249" w:lineRule="auto"/>
        <w:tabs>
          <w:tab w:leader="none" w:pos="203"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Healthcare Services segment Adjusted earnings before interest, taxes, depreciation and amortization (Adjusted EBITDA) includes GAAP segment earnings with adjustments to add back depreciation and amortization expense, interest expense, and income taxes. The Adjusted EBITDA includes results from all lines of business within the segment. The Adjusted EBITDA also includes the impact of Humana’s 40 percent minority interest in Kindred at Home and the strategic partnership with Welsh, Carson, Anderson &amp; Stowe (WCAS) to develop and operate senior-focused, payor-agnostic, primary care centers.</w:t>
      </w:r>
    </w:p>
    <w:p>
      <w:pPr>
        <w:spacing w:after="0" w:line="153" w:lineRule="exact"/>
        <w:rPr>
          <w:rFonts w:ascii="Arial" w:cs="Arial" w:eastAsia="Arial" w:hAnsi="Arial"/>
          <w:sz w:val="13"/>
          <w:szCs w:val="13"/>
          <w:color w:val="auto"/>
        </w:rPr>
      </w:pPr>
    </w:p>
    <w:p>
      <w:pPr>
        <w:ind w:left="188" w:hanging="188"/>
        <w:spacing w:after="0"/>
        <w:tabs>
          <w:tab w:leader="none" w:pos="188" w:val="left"/>
        </w:tabs>
        <w:numPr>
          <w:ilvl w:val="0"/>
          <w:numId w:val="3"/>
        </w:numPr>
        <w:rPr>
          <w:rFonts w:ascii="Arial" w:cs="Arial" w:eastAsia="Arial" w:hAnsi="Arial"/>
          <w:sz w:val="13"/>
          <w:szCs w:val="13"/>
          <w:color w:val="auto"/>
        </w:rPr>
      </w:pPr>
      <w:r>
        <w:rPr>
          <w:rFonts w:ascii="Arial" w:cs="Arial" w:eastAsia="Arial" w:hAnsi="Arial"/>
          <w:sz w:val="13"/>
          <w:szCs w:val="13"/>
          <w:u w:val="single" w:color="auto"/>
          <w:color w:val="auto"/>
        </w:rPr>
        <w:t>FY 2021 Adjusted EPS projections exclude the following:</w:t>
      </w:r>
    </w:p>
    <w:p>
      <w:pPr>
        <w:spacing w:after="0" w:line="3" w:lineRule="exact"/>
        <w:rPr>
          <w:rFonts w:ascii="Arial" w:cs="Arial" w:eastAsia="Arial" w:hAnsi="Arial"/>
          <w:sz w:val="13"/>
          <w:szCs w:val="13"/>
          <w:color w:val="auto"/>
        </w:rPr>
      </w:pPr>
    </w:p>
    <w:p>
      <w:pPr>
        <w:ind w:left="408" w:hanging="192"/>
        <w:spacing w:after="0"/>
        <w:tabs>
          <w:tab w:leader="none" w:pos="408" w:val="left"/>
        </w:tabs>
        <w:numPr>
          <w:ilvl w:val="1"/>
          <w:numId w:val="3"/>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~$0.43 per diluted common share.</w:t>
      </w:r>
    </w:p>
    <w:p>
      <w:pPr>
        <w:spacing w:after="0" w:line="3" w:lineRule="exact"/>
        <w:rPr>
          <w:rFonts w:ascii="Arial" w:cs="Arial" w:eastAsia="Arial" w:hAnsi="Arial"/>
          <w:sz w:val="13"/>
          <w:szCs w:val="13"/>
          <w:color w:val="auto"/>
        </w:rPr>
      </w:pPr>
    </w:p>
    <w:p>
      <w:pPr>
        <w:ind w:left="428" w:right="40" w:hanging="212"/>
        <w:spacing w:after="0" w:line="245" w:lineRule="auto"/>
        <w:tabs>
          <w:tab w:leader="none" w:pos="402" w:val="left"/>
        </w:tabs>
        <w:numPr>
          <w:ilvl w:val="1"/>
          <w:numId w:val="3"/>
        </w:numPr>
        <w:rPr>
          <w:rFonts w:ascii="Arial" w:cs="Arial" w:eastAsia="Arial" w:hAnsi="Arial"/>
          <w:sz w:val="13"/>
          <w:szCs w:val="13"/>
          <w:color w:val="auto"/>
        </w:rPr>
      </w:pPr>
      <w:r>
        <w:rPr>
          <w:rFonts w:ascii="Arial" w:cs="Arial" w:eastAsia="Arial" w:hAnsi="Arial"/>
          <w:sz w:val="13"/>
          <w:szCs w:val="13"/>
          <w:color w:val="auto"/>
        </w:rPr>
        <w:t>Put/call valuation adjustments of $0.69 per diluted common share related to Humana’s non-consolidating minority interest investments. FY 2021 GAAP EPS guidance excludes the impact of future value changes of these put/call options as the future value changes cannot be estimated.</w:t>
      </w:r>
    </w:p>
    <w:p>
      <w:pPr>
        <w:ind w:left="428" w:right="220" w:hanging="212"/>
        <w:spacing w:after="0" w:line="258" w:lineRule="auto"/>
        <w:tabs>
          <w:tab w:leader="none" w:pos="402" w:val="left"/>
        </w:tabs>
        <w:numPr>
          <w:ilvl w:val="1"/>
          <w:numId w:val="3"/>
        </w:numPr>
        <w:rPr>
          <w:rFonts w:ascii="Arial" w:cs="Arial" w:eastAsia="Arial" w:hAnsi="Arial"/>
          <w:sz w:val="13"/>
          <w:szCs w:val="13"/>
          <w:color w:val="auto"/>
        </w:rPr>
      </w:pPr>
      <w:r>
        <w:rPr>
          <w:rFonts w:ascii="Arial" w:cs="Arial" w:eastAsia="Arial" w:hAnsi="Arial"/>
          <w:sz w:val="13"/>
          <w:szCs w:val="13"/>
          <w:color w:val="auto"/>
        </w:rPr>
        <w:t>Change in the fair market value of equity securities of $0.51 per diluted common share. The future value of publicly-traded equity securities, their impact on GAAP EPS, and the related non-GAAP adjustment will fluctuate on the public trading value of the stock. The guidance set forth herein assumes no further change in the fair value of these investments.</w:t>
      </w:r>
    </w:p>
    <w:p>
      <w:pPr>
        <w:spacing w:after="0" w:line="141" w:lineRule="exact"/>
        <w:rPr>
          <w:sz w:val="20"/>
          <w:szCs w:val="20"/>
          <w:color w:val="auto"/>
        </w:rPr>
      </w:pPr>
    </w:p>
    <w:p>
      <w:pPr>
        <w:ind w:left="168"/>
        <w:spacing w:after="0"/>
        <w:rPr>
          <w:sz w:val="20"/>
          <w:szCs w:val="20"/>
          <w:color w:val="auto"/>
        </w:rPr>
      </w:pPr>
      <w:r>
        <w:rPr>
          <w:rFonts w:ascii="Arial" w:cs="Arial" w:eastAsia="Arial" w:hAnsi="Arial"/>
          <w:sz w:val="13"/>
          <w:szCs w:val="13"/>
          <w:u w:val="single" w:color="auto"/>
          <w:color w:val="auto"/>
        </w:rPr>
        <w:t>(e) FY 2020 Adjusted results exclude the following:</w:t>
      </w:r>
    </w:p>
    <w:p>
      <w:pPr>
        <w:ind w:left="388" w:right="4940" w:hanging="172"/>
        <w:spacing w:after="0" w:line="245" w:lineRule="auto"/>
        <w:tabs>
          <w:tab w:leader="none" w:pos="309" w:val="left"/>
        </w:tabs>
        <w:numPr>
          <w:ilvl w:val="0"/>
          <w:numId w:val="4"/>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$88 million pretax, or $0.51 per diluted common share.</w:t>
      </w:r>
    </w:p>
    <w:p>
      <w:pPr>
        <w:ind w:left="388" w:right="5360" w:hanging="172"/>
        <w:spacing w:after="0" w:line="245" w:lineRule="auto"/>
        <w:tabs>
          <w:tab w:leader="none" w:pos="309" w:val="left"/>
        </w:tabs>
        <w:numPr>
          <w:ilvl w:val="0"/>
          <w:numId w:val="4"/>
        </w:numPr>
        <w:rPr>
          <w:rFonts w:ascii="Arial" w:cs="Arial" w:eastAsia="Arial" w:hAnsi="Arial"/>
          <w:sz w:val="13"/>
          <w:szCs w:val="13"/>
          <w:color w:val="auto"/>
        </w:rPr>
      </w:pPr>
      <w:r>
        <w:rPr>
          <w:rFonts w:ascii="Arial" w:cs="Arial" w:eastAsia="Arial" w:hAnsi="Arial"/>
          <w:sz w:val="13"/>
          <w:szCs w:val="13"/>
          <w:color w:val="auto"/>
        </w:rPr>
        <w:t>Put/call valuation adjustments of approximately $103 million, or $0.60 per diluted common share, associated with Humana's non-consolidating minority interest investments.</w:t>
      </w:r>
    </w:p>
    <w:p>
      <w:pPr>
        <w:ind w:left="388" w:right="4820" w:hanging="172"/>
        <w:spacing w:after="0" w:line="248" w:lineRule="auto"/>
        <w:tabs>
          <w:tab w:leader="none" w:pos="309" w:val="left"/>
        </w:tabs>
        <w:numPr>
          <w:ilvl w:val="0"/>
          <w:numId w:val="4"/>
        </w:numPr>
        <w:rPr>
          <w:rFonts w:ascii="Arial" w:cs="Arial" w:eastAsia="Arial" w:hAnsi="Arial"/>
          <w:sz w:val="13"/>
          <w:szCs w:val="13"/>
          <w:color w:val="auto"/>
        </w:rPr>
      </w:pPr>
      <w:r>
        <w:rPr>
          <w:rFonts w:ascii="Arial" w:cs="Arial" w:eastAsia="Arial" w:hAnsi="Arial"/>
          <w:sz w:val="13"/>
          <w:szCs w:val="13"/>
          <w:color w:val="auto"/>
        </w:rPr>
        <w:t>Change in fair market value of publicly-traded equity securities of $745 million, or $4.32 per diluted common share. Humana adjusts for the market gains and losses of its publicly-traded equity investments (primarily Oak Street Health, Inc.) each period because while investments are strategic decisions for the company, management's measure of performance is primarily focused on operational results rather than fair value of such investments. Also, management does not forecast changes in fair value of its equity</w:t>
      </w:r>
    </w:p>
    <w:p>
      <w:pPr>
        <w:spacing w:after="0" w:line="263"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8"/>
          </w:cols>
          <w:pgMar w:left="292" w:top="913" w:right="299" w:bottom="1440" w:gutter="0" w:footer="0" w:header="0"/>
        </w:sectPr>
      </w:pPr>
    </w:p>
    <w:bookmarkStart w:id="8" w:name="page9"/>
    <w:bookmarkEnd w:id="8"/>
    <w:p>
      <w:pPr>
        <w:ind w:left="380" w:right="4800"/>
        <w:spacing w:after="0" w:line="245" w:lineRule="auto"/>
        <w:rPr>
          <w:sz w:val="20"/>
          <w:szCs w:val="20"/>
          <w:color w:val="auto"/>
        </w:rPr>
      </w:pPr>
      <w:r>
        <w:rPr>
          <w:rFonts w:ascii="Arial" w:cs="Arial" w:eastAsia="Arial" w:hAnsi="Arial"/>
          <w:sz w:val="13"/>
          <w:szCs w:val="13"/>
          <w:color w:val="auto"/>
        </w:rPr>
        <w:t>investments. Accordingly, the company believes it is useful to adjust GAAP EPS for the market gains and losses of publicly-traded equity securities.</w:t>
      </w:r>
    </w:p>
    <w:p>
      <w:pPr>
        <w:spacing w:after="0" w:line="1" w:lineRule="exact"/>
        <w:rPr>
          <w:sz w:val="20"/>
          <w:szCs w:val="20"/>
          <w:color w:val="auto"/>
        </w:rPr>
      </w:pPr>
    </w:p>
    <w:p>
      <w:pPr>
        <w:ind w:left="380" w:right="4720" w:hanging="172"/>
        <w:spacing w:after="0" w:line="251" w:lineRule="auto"/>
        <w:tabs>
          <w:tab w:leader="none" w:pos="301" w:val="left"/>
        </w:tabs>
        <w:numPr>
          <w:ilvl w:val="0"/>
          <w:numId w:val="5"/>
        </w:numPr>
        <w:rPr>
          <w:rFonts w:ascii="Arial" w:cs="Arial" w:eastAsia="Arial" w:hAnsi="Arial"/>
          <w:sz w:val="13"/>
          <w:szCs w:val="13"/>
          <w:color w:val="auto"/>
        </w:rPr>
      </w:pPr>
      <w:r>
        <w:rPr>
          <w:rFonts w:ascii="Arial" w:cs="Arial" w:eastAsia="Arial" w:hAnsi="Arial"/>
          <w:sz w:val="13"/>
          <w:szCs w:val="13"/>
          <w:color w:val="auto"/>
        </w:rPr>
        <w:t>Net adjustment of $578 million, or $3.35 per diluted common share, related to the receipt of unpaid risk corridor payments associated with the losses incurred by the company under the ACA business from 2014 to 2016 (previously written off).</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Cautionary Statement</w:t>
      </w:r>
    </w:p>
    <w:p>
      <w:pPr>
        <w:spacing w:after="0" w:line="20" w:lineRule="exact"/>
        <w:rPr>
          <w:sz w:val="20"/>
          <w:szCs w:val="20"/>
          <w:color w:val="auto"/>
        </w:rPr>
      </w:pPr>
    </w:p>
    <w:p>
      <w:pPr>
        <w:ind w:left="200" w:right="200"/>
        <w:spacing w:after="0" w:line="249" w:lineRule="auto"/>
        <w:rPr>
          <w:sz w:val="20"/>
          <w:szCs w:val="20"/>
          <w:color w:val="auto"/>
        </w:rPr>
      </w:pPr>
      <w:r>
        <w:rPr>
          <w:rFonts w:ascii="Arial" w:cs="Arial" w:eastAsia="Arial" w:hAnsi="Arial"/>
          <w:sz w:val="13"/>
          <w:szCs w:val="13"/>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154" w:lineRule="exact"/>
        <w:rPr>
          <w:sz w:val="20"/>
          <w:szCs w:val="20"/>
          <w:color w:val="auto"/>
        </w:rPr>
      </w:pPr>
    </w:p>
    <w:p>
      <w:pPr>
        <w:ind w:left="200" w:right="180"/>
        <w:spacing w:after="0" w:line="258" w:lineRule="auto"/>
        <w:rPr>
          <w:sz w:val="20"/>
          <w:szCs w:val="20"/>
          <w:color w:val="auto"/>
        </w:rPr>
      </w:pPr>
      <w:r>
        <w:rPr>
          <w:rFonts w:ascii="Arial" w:cs="Arial" w:eastAsia="Arial" w:hAnsi="Arial"/>
          <w:sz w:val="13"/>
          <w:szCs w:val="13"/>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147" w:lineRule="exact"/>
        <w:rPr>
          <w:sz w:val="20"/>
          <w:szCs w:val="20"/>
          <w:color w:val="auto"/>
        </w:rPr>
      </w:pPr>
    </w:p>
    <w:p>
      <w:pPr>
        <w:ind w:left="420" w:right="40" w:hanging="212"/>
        <w:spacing w:after="0" w:line="245" w:lineRule="auto"/>
        <w:tabs>
          <w:tab w:leader="none" w:pos="394" w:val="left"/>
        </w:tabs>
        <w:numPr>
          <w:ilvl w:val="0"/>
          <w:numId w:val="6"/>
        </w:numPr>
        <w:rPr>
          <w:rFonts w:ascii="Arial" w:cs="Arial" w:eastAsia="Arial" w:hAnsi="Arial"/>
          <w:sz w:val="13"/>
          <w:szCs w:val="13"/>
          <w:color w:val="auto"/>
        </w:rPr>
      </w:pPr>
      <w:r>
        <w:rPr>
          <w:rFonts w:ascii="Arial" w:cs="Arial" w:eastAsia="Arial" w:hAnsi="Arial"/>
          <w:sz w:val="13"/>
          <w:szCs w:val="13"/>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involve extensive judgment, and have considerable inherent variability because they are extremely sensitive to changes in claim payment patterns and medical cost trends. Accordingly, Humana's reserves may be insufficient.</w:t>
      </w:r>
    </w:p>
    <w:p>
      <w:pPr>
        <w:spacing w:after="0" w:line="3" w:lineRule="exact"/>
        <w:rPr>
          <w:rFonts w:ascii="Arial" w:cs="Arial" w:eastAsia="Arial" w:hAnsi="Arial"/>
          <w:sz w:val="13"/>
          <w:szCs w:val="13"/>
          <w:color w:val="auto"/>
        </w:rPr>
      </w:pPr>
    </w:p>
    <w:p>
      <w:pPr>
        <w:ind w:left="420" w:right="320" w:hanging="212"/>
        <w:spacing w:after="0" w:line="245" w:lineRule="auto"/>
        <w:tabs>
          <w:tab w:leader="none" w:pos="394" w:val="left"/>
        </w:tabs>
        <w:numPr>
          <w:ilvl w:val="0"/>
          <w:numId w:val="6"/>
        </w:numPr>
        <w:rPr>
          <w:rFonts w:ascii="Arial" w:cs="Arial" w:eastAsia="Arial" w:hAnsi="Arial"/>
          <w:sz w:val="13"/>
          <w:szCs w:val="13"/>
          <w:color w:val="auto"/>
        </w:rPr>
      </w:pPr>
      <w:r>
        <w:rPr>
          <w:rFonts w:ascii="Arial" w:cs="Arial" w:eastAsia="Arial" w:hAnsi="Arial"/>
          <w:sz w:val="13"/>
          <w:szCs w:val="13"/>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1" w:lineRule="exact"/>
        <w:rPr>
          <w:rFonts w:ascii="Arial" w:cs="Arial" w:eastAsia="Arial" w:hAnsi="Arial"/>
          <w:sz w:val="13"/>
          <w:szCs w:val="13"/>
          <w:color w:val="auto"/>
        </w:rPr>
      </w:pPr>
    </w:p>
    <w:p>
      <w:pPr>
        <w:ind w:left="420" w:right="20" w:hanging="212"/>
        <w:spacing w:after="0" w:line="245" w:lineRule="auto"/>
        <w:tabs>
          <w:tab w:leader="none" w:pos="394" w:val="left"/>
        </w:tabs>
        <w:numPr>
          <w:ilvl w:val="0"/>
          <w:numId w:val="6"/>
        </w:numPr>
        <w:rPr>
          <w:rFonts w:ascii="Arial" w:cs="Arial" w:eastAsia="Arial" w:hAnsi="Arial"/>
          <w:sz w:val="13"/>
          <w:szCs w:val="13"/>
          <w:color w:val="auto"/>
        </w:rPr>
      </w:pPr>
      <w:r>
        <w:rPr>
          <w:rFonts w:ascii="Arial" w:cs="Arial" w:eastAsia="Arial" w:hAnsi="Arial"/>
          <w:sz w:val="13"/>
          <w:szCs w:val="13"/>
          <w:color w:val="auto"/>
        </w:rPr>
        <w:t>If Humana fails to properly maintain the integrity of its data, to strategically maintain existing or implement new information systems, to protect Humana’s proprietary rights to its systems, or to defend against cyber-security attacks or prevent other privacy or data security incidents that result in security breaches that disrupt our operations or in the unintended dissemination of sensitive personal information or proprietary or confidential information, the company’s business may be materially adversely affected.</w:t>
      </w:r>
    </w:p>
    <w:p>
      <w:pPr>
        <w:spacing w:after="0" w:line="1" w:lineRule="exact"/>
        <w:rPr>
          <w:rFonts w:ascii="Arial" w:cs="Arial" w:eastAsia="Arial" w:hAnsi="Arial"/>
          <w:sz w:val="13"/>
          <w:szCs w:val="13"/>
          <w:color w:val="auto"/>
        </w:rPr>
      </w:pPr>
    </w:p>
    <w:p>
      <w:pPr>
        <w:ind w:left="420" w:hanging="212"/>
        <w:spacing w:after="0" w:line="245" w:lineRule="auto"/>
        <w:tabs>
          <w:tab w:leader="none" w:pos="394" w:val="left"/>
        </w:tabs>
        <w:numPr>
          <w:ilvl w:val="0"/>
          <w:numId w:val="6"/>
        </w:numPr>
        <w:rPr>
          <w:rFonts w:ascii="Arial" w:cs="Arial" w:eastAsia="Arial" w:hAnsi="Arial"/>
          <w:sz w:val="13"/>
          <w:szCs w:val="13"/>
          <w:color w:val="auto"/>
        </w:rPr>
      </w:pPr>
      <w:r>
        <w:rPr>
          <w:rFonts w:ascii="Arial" w:cs="Arial" w:eastAsia="Arial" w:hAnsi="Arial"/>
          <w:sz w:val="13"/>
          <w:szCs w:val="13"/>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1" w:lineRule="exact"/>
        <w:rPr>
          <w:rFonts w:ascii="Arial" w:cs="Arial" w:eastAsia="Arial" w:hAnsi="Arial"/>
          <w:sz w:val="13"/>
          <w:szCs w:val="13"/>
          <w:color w:val="auto"/>
        </w:rPr>
      </w:pPr>
    </w:p>
    <w:p>
      <w:pPr>
        <w:ind w:left="420" w:right="200" w:hanging="212"/>
        <w:spacing w:after="0" w:line="249" w:lineRule="auto"/>
        <w:tabs>
          <w:tab w:leader="none" w:pos="394" w:val="left"/>
        </w:tabs>
        <w:numPr>
          <w:ilvl w:val="0"/>
          <w:numId w:val="6"/>
        </w:numPr>
        <w:rPr>
          <w:rFonts w:ascii="Arial" w:cs="Arial" w:eastAsia="Arial" w:hAnsi="Arial"/>
          <w:sz w:val="13"/>
          <w:szCs w:val="13"/>
          <w:color w:val="auto"/>
        </w:rPr>
      </w:pPr>
      <w:r>
        <w:rPr>
          <w:rFonts w:ascii="Arial" w:cs="Arial" w:eastAsia="Arial" w:hAnsi="Arial"/>
          <w:sz w:val="13"/>
          <w:szCs w:val="13"/>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80"/>
          </w:cols>
          <w:pgMar w:left="300" w:top="785" w:right="319" w:bottom="1440" w:gutter="0" w:footer="0" w:header="0"/>
        </w:sectPr>
      </w:pPr>
    </w:p>
    <w:bookmarkStart w:id="9" w:name="page10"/>
    <w:bookmarkEnd w:id="9"/>
    <w:p>
      <w:pPr>
        <w:ind w:left="220" w:right="100"/>
        <w:spacing w:after="0" w:line="245" w:lineRule="auto"/>
        <w:rPr>
          <w:sz w:val="20"/>
          <w:szCs w:val="20"/>
          <w:color w:val="auto"/>
        </w:rPr>
      </w:pPr>
      <w:r>
        <w:rPr>
          <w:rFonts w:ascii="Arial" w:cs="Arial" w:eastAsia="Arial" w:hAnsi="Arial"/>
          <w:sz w:val="13"/>
          <w:szCs w:val="13"/>
          <w:color w:val="auto"/>
        </w:rPr>
        <w:t>adjust premiums paid to Medicare Advantage, or MA, plans according to the health status of covered members, including 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1" w:lineRule="exact"/>
        <w:rPr>
          <w:sz w:val="20"/>
          <w:szCs w:val="20"/>
          <w:color w:val="auto"/>
        </w:rPr>
      </w:pPr>
    </w:p>
    <w:p>
      <w:pPr>
        <w:ind w:left="220" w:hanging="212"/>
        <w:spacing w:after="0" w:line="245" w:lineRule="auto"/>
        <w:tabs>
          <w:tab w:leader="none" w:pos="194" w:val="left"/>
        </w:tabs>
        <w:numPr>
          <w:ilvl w:val="0"/>
          <w:numId w:val="7"/>
        </w:numPr>
        <w:rPr>
          <w:rFonts w:ascii="Arial" w:cs="Arial" w:eastAsia="Arial" w:hAnsi="Arial"/>
          <w:sz w:val="13"/>
          <w:szCs w:val="13"/>
          <w:color w:val="auto"/>
        </w:rPr>
      </w:pPr>
      <w:r>
        <w:rPr>
          <w:rFonts w:ascii="Arial" w:cs="Arial" w:eastAsia="Arial" w:hAnsi="Arial"/>
          <w:sz w:val="13"/>
          <w:szCs w:val="13"/>
          <w:color w:val="auto"/>
        </w:rPr>
        <w:t>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w:t>
      </w:r>
    </w:p>
    <w:p>
      <w:pPr>
        <w:spacing w:after="0" w:line="2" w:lineRule="exact"/>
        <w:rPr>
          <w:rFonts w:ascii="Arial" w:cs="Arial" w:eastAsia="Arial" w:hAnsi="Arial"/>
          <w:sz w:val="13"/>
          <w:szCs w:val="13"/>
          <w:color w:val="auto"/>
        </w:rPr>
      </w:pPr>
    </w:p>
    <w:p>
      <w:pPr>
        <w:ind w:left="220" w:right="120" w:hanging="212"/>
        <w:spacing w:after="0" w:line="245" w:lineRule="auto"/>
        <w:tabs>
          <w:tab w:leader="none" w:pos="194" w:val="left"/>
        </w:tabs>
        <w:numPr>
          <w:ilvl w:val="0"/>
          <w:numId w:val="7"/>
        </w:numPr>
        <w:rPr>
          <w:rFonts w:ascii="Arial" w:cs="Arial" w:eastAsia="Arial" w:hAnsi="Arial"/>
          <w:sz w:val="13"/>
          <w:szCs w:val="13"/>
          <w:color w:val="auto"/>
        </w:rPr>
      </w:pPr>
      <w:r>
        <w:rPr>
          <w:rFonts w:ascii="Arial" w:cs="Arial" w:eastAsia="Arial" w:hAnsi="Arial"/>
          <w:sz w:val="13"/>
          <w:szCs w:val="13"/>
          <w:color w:val="auto"/>
        </w:rPr>
        <w:t>Humana’s failure to manage acquisitions, divestitures and other significant transactions successfully may have a material adverse effect on the company’s results of operations, financial position, and cash flows.</w:t>
      </w:r>
    </w:p>
    <w:p>
      <w:pPr>
        <w:ind w:left="200" w:hanging="192"/>
        <w:spacing w:after="0"/>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If Humana fails to develop and maintain satisfactory relationships with the providers of care to its members, the company’s business may be adversely affected.</w:t>
      </w:r>
    </w:p>
    <w:p>
      <w:pPr>
        <w:spacing w:after="0" w:line="3" w:lineRule="exact"/>
        <w:rPr>
          <w:rFonts w:ascii="Arial" w:cs="Arial" w:eastAsia="Arial" w:hAnsi="Arial"/>
          <w:sz w:val="13"/>
          <w:szCs w:val="13"/>
          <w:color w:val="auto"/>
        </w:rPr>
      </w:pPr>
    </w:p>
    <w:p>
      <w:pPr>
        <w:ind w:left="200" w:hanging="192"/>
        <w:spacing w:after="0"/>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Humana’s pharmacy business is highly competitive and subjects it to regulations and supply chain risks in addition to those the company faces with its core health benefits businesses.</w:t>
      </w:r>
    </w:p>
    <w:p>
      <w:pPr>
        <w:spacing w:after="0" w:line="3" w:lineRule="exact"/>
        <w:rPr>
          <w:rFonts w:ascii="Arial" w:cs="Arial" w:eastAsia="Arial" w:hAnsi="Arial"/>
          <w:sz w:val="13"/>
          <w:szCs w:val="13"/>
          <w:color w:val="auto"/>
        </w:rPr>
      </w:pPr>
    </w:p>
    <w:p>
      <w:pPr>
        <w:ind w:left="200" w:hanging="192"/>
        <w:spacing w:after="0"/>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Changes in the prescription drug industry pricing benchmarks may adversely affect Humana’s financial performance.</w:t>
      </w:r>
    </w:p>
    <w:p>
      <w:pPr>
        <w:spacing w:after="0" w:line="3" w:lineRule="exact"/>
        <w:rPr>
          <w:rFonts w:ascii="Arial" w:cs="Arial" w:eastAsia="Arial" w:hAnsi="Arial"/>
          <w:sz w:val="13"/>
          <w:szCs w:val="13"/>
          <w:color w:val="auto"/>
        </w:rPr>
      </w:pPr>
    </w:p>
    <w:p>
      <w:pPr>
        <w:ind w:left="200" w:hanging="192"/>
        <w:spacing w:after="0"/>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Humana’s ability to obtain funds from certain of its licensed subsidiaries is restricted by state insurance regulations.</w:t>
      </w:r>
    </w:p>
    <w:p>
      <w:pPr>
        <w:spacing w:after="0" w:line="3" w:lineRule="exact"/>
        <w:rPr>
          <w:rFonts w:ascii="Arial" w:cs="Arial" w:eastAsia="Arial" w:hAnsi="Arial"/>
          <w:sz w:val="13"/>
          <w:szCs w:val="13"/>
          <w:color w:val="auto"/>
        </w:rPr>
      </w:pPr>
    </w:p>
    <w:p>
      <w:pPr>
        <w:ind w:left="200" w:hanging="192"/>
        <w:spacing w:after="0"/>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Downgrades in Humana’s debt ratings, should they occur, may adversely affect its business, results of operations, and financial condition.</w:t>
      </w:r>
    </w:p>
    <w:p>
      <w:pPr>
        <w:spacing w:after="0" w:line="3" w:lineRule="exact"/>
        <w:rPr>
          <w:rFonts w:ascii="Arial" w:cs="Arial" w:eastAsia="Arial" w:hAnsi="Arial"/>
          <w:sz w:val="13"/>
          <w:szCs w:val="13"/>
          <w:color w:val="auto"/>
        </w:rPr>
      </w:pPr>
    </w:p>
    <w:p>
      <w:pPr>
        <w:ind w:left="200" w:hanging="192"/>
        <w:spacing w:after="0"/>
        <w:tabs>
          <w:tab w:leader="none" w:pos="20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securities and credit markets may experience volatility and disruption, which may adversely affect Humana’s business.</w:t>
      </w:r>
    </w:p>
    <w:p>
      <w:pPr>
        <w:spacing w:after="0" w:line="3" w:lineRule="exact"/>
        <w:rPr>
          <w:rFonts w:ascii="Arial" w:cs="Arial" w:eastAsia="Arial" w:hAnsi="Arial"/>
          <w:sz w:val="13"/>
          <w:szCs w:val="13"/>
          <w:color w:val="auto"/>
        </w:rPr>
      </w:pPr>
    </w:p>
    <w:p>
      <w:pPr>
        <w:ind w:left="220" w:right="60" w:hanging="212"/>
        <w:spacing w:after="0" w:line="258" w:lineRule="auto"/>
        <w:tabs>
          <w:tab w:leader="none" w:pos="194"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spread of, and response to, the novel coronavirus, or COVID-19, underscores certain risks Humana faces, including those discussed above, and the ongoing, heightened uncertainty created by the pandemic precludes any prediction as to the ultimate adverse impact to Humana of COVID-19.</w:t>
      </w:r>
    </w:p>
    <w:p>
      <w:pPr>
        <w:spacing w:after="0" w:line="147" w:lineRule="exact"/>
        <w:rPr>
          <w:sz w:val="20"/>
          <w:szCs w:val="20"/>
          <w:color w:val="auto"/>
        </w:rPr>
      </w:pPr>
    </w:p>
    <w:p>
      <w:pPr>
        <w:ind w:left="220" w:right="20"/>
        <w:spacing w:after="0" w:line="246" w:lineRule="auto"/>
        <w:rPr>
          <w:sz w:val="20"/>
          <w:szCs w:val="20"/>
          <w:color w:val="auto"/>
        </w:rPr>
      </w:pPr>
      <w:r>
        <w:rPr>
          <w:rFonts w:ascii="Arial" w:cs="Arial" w:eastAsia="Arial" w:hAnsi="Arial"/>
          <w:sz w:val="13"/>
          <w:szCs w:val="13"/>
          <w:color w:val="auto"/>
        </w:rPr>
        <w:t>To the extent that the spread of COVID-19 is not contained, the premiums the company charges may prove to be insufficient to cover the cost of health care services delivered to its members, which may increase significantly as a result of higher utilization rates of medical facilities and services and other increases in associated hospital and pharmaceutical costs. Humana may also experience increased costs or decreased revenues if, as a result of the company’s members being unable or unwilling to see their providers due to actions taken to mitigate the spread of COVID-19, Humana is unable to implement clinical initiatives to manage health care costs and chronic conditions of its members, and appropriately document their risk profiles. In addition, Humana is offering, and has been mandated by legislative and regulatory action (including the Families First Act and CARES Act) to provide, certain expanded benefit coverage to its members, such as waiving out of pocket costs for COVID-19 testing and treatment. Humana is also taking actions designed to help provide financial and administrative relief for the health care provider community. Such measures and any further steps taken by Humana, or governmental action, to continue to respond to and address the ongoing impact of COVID-19 (including further expansion or modification of the services delivered to its members, the adoption or modification of regulatory requirements associated with those services and the costs and challenges associated with ensuring timely compliance with such requirements), to provide further relief for the health care provider community, or in connection with the relaxation of stay-at-home and physical distancing orders and other restrictions on movement and economic activity, including the potential for widespread testing and therapeutic treatments and the distribution and administration of COVID-19 vaccines, could adversely impact the company’s profitability.</w:t>
      </w:r>
    </w:p>
    <w:p>
      <w:pPr>
        <w:spacing w:after="0" w:line="159" w:lineRule="exact"/>
        <w:rPr>
          <w:sz w:val="20"/>
          <w:szCs w:val="20"/>
          <w:color w:val="auto"/>
        </w:rPr>
      </w:pPr>
    </w:p>
    <w:p>
      <w:pPr>
        <w:ind w:left="220" w:right="160"/>
        <w:spacing w:after="0" w:line="258" w:lineRule="auto"/>
        <w:rPr>
          <w:sz w:val="20"/>
          <w:szCs w:val="20"/>
          <w:color w:val="auto"/>
        </w:rPr>
      </w:pPr>
      <w:r>
        <w:rPr>
          <w:rFonts w:ascii="Arial" w:cs="Arial" w:eastAsia="Arial" w:hAnsi="Arial"/>
          <w:sz w:val="13"/>
          <w:szCs w:val="13"/>
          <w:color w:val="auto"/>
        </w:rPr>
        <w:t>The spread and impact of COVID-19, or actions taken to mitigate this spread, could have material and adverse effects on Humana’s ability to operate effectively, including as a result of the complete or partial closure of facilities or labor shortages. Disruptions in public and private infrastructure, including communications,</w:t>
      </w:r>
    </w:p>
    <w:p>
      <w:pPr>
        <w:spacing w:after="0" w:line="255"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80"/>
          </w:cols>
          <w:pgMar w:left="500" w:top="785" w:right="319" w:bottom="1440" w:gutter="0" w:footer="0" w:header="0"/>
        </w:sectPr>
      </w:pPr>
    </w:p>
    <w:bookmarkStart w:id="10" w:name="page11"/>
    <w:bookmarkEnd w:id="10"/>
    <w:p>
      <w:pPr>
        <w:ind w:left="420"/>
        <w:spacing w:after="0" w:line="247" w:lineRule="auto"/>
        <w:rPr>
          <w:sz w:val="20"/>
          <w:szCs w:val="20"/>
          <w:color w:val="auto"/>
        </w:rPr>
      </w:pPr>
      <w:r>
        <w:rPr>
          <w:rFonts w:ascii="Arial" w:cs="Arial" w:eastAsia="Arial" w:hAnsi="Arial"/>
          <w:sz w:val="13"/>
          <w:szCs w:val="13"/>
          <w:color w:val="auto"/>
        </w:rPr>
        <w:t>availability of in-person sales and marketing channels, financial services and supply chains, could materially and adversely disrupt the company’s normal business operations. Humana has transitioned a significant subset of its employee population to a remote work environment in an effort to mitigate the spread of COVID-19, as have a number of the company’s third-party service providers, which may exacerbate certain risks to Humana’s business, including an increased demand for information technology resources, increased risk of phishing and other cybersecurity attacks, and increased risk of unauthorized dissemination of sensitive personal information or proprietary or confidential information about the company or its members or other third-parties. The outbreak of COVID-19 has severely impacted global economic activity, including the businesses of some of Humana’s commercial customers, and caused significant volatility and negative pressure in the financial markets. In addition to disrupting Humana’s operations, these developments may adversely affect the timing of commercial customer premium collections and corresponding claim payments, the value of the company’s investment portfolio, or future liquidity needs.</w:t>
      </w:r>
    </w:p>
    <w:p>
      <w:pPr>
        <w:spacing w:after="0" w:line="156" w:lineRule="exact"/>
        <w:rPr>
          <w:sz w:val="20"/>
          <w:szCs w:val="20"/>
          <w:color w:val="auto"/>
        </w:rPr>
      </w:pPr>
    </w:p>
    <w:p>
      <w:pPr>
        <w:ind w:left="420" w:right="20"/>
        <w:spacing w:after="0" w:line="248" w:lineRule="auto"/>
        <w:rPr>
          <w:sz w:val="20"/>
          <w:szCs w:val="20"/>
          <w:color w:val="auto"/>
        </w:rPr>
      </w:pPr>
      <w:r>
        <w:rPr>
          <w:rFonts w:ascii="Arial" w:cs="Arial" w:eastAsia="Arial" w:hAnsi="Arial"/>
          <w:sz w:val="13"/>
          <w:szCs w:val="13"/>
          <w:color w:val="auto"/>
        </w:rPr>
        <w:t>The ongoing, heightened uncertainty created by the pandemic precludes any prediction as to the ultimate adverse impact to Humana of COVID-19. Humana is continuing to monitor the spread of COVID-19, changes to the company’s benefit coverages, and the ongoing costs and business impacts of dealing with COVID-19, including the potential costs and impacts associated with lifting or reimposing restrictions on movement and economic activity, the timing and degree in resumption of demand for deferred healthcare services, the pace of administration of COVID-19 vaccines and the effectiveness of those vaccines, and related risks. The magnitude and duration of the pandemic and its impact on Humana’s business, results of operations, financial position, and cash flows is uncertain, but such impacts could be material to the company’s business, results of operations, financial position and cash flows.</w:t>
      </w:r>
    </w:p>
    <w:p>
      <w:pPr>
        <w:spacing w:after="0" w:line="155"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Humana advises investors to read the following documents as filed by the company with the SEC for further discussion both of the risks it faces and its historical performance:</w:t>
      </w:r>
    </w:p>
    <w:p>
      <w:pPr>
        <w:spacing w:after="0" w:line="166" w:lineRule="exact"/>
        <w:rPr>
          <w:sz w:val="20"/>
          <w:szCs w:val="20"/>
          <w:color w:val="auto"/>
        </w:rPr>
      </w:pPr>
    </w:p>
    <w:p>
      <w:pPr>
        <w:ind w:left="400" w:hanging="192"/>
        <w:spacing w:after="0"/>
        <w:tabs>
          <w:tab w:leader="none" w:pos="400"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Form 10-K for the year ended December 31, 2020; and</w:t>
      </w:r>
    </w:p>
    <w:p>
      <w:pPr>
        <w:spacing w:after="0" w:line="165" w:lineRule="exact"/>
        <w:rPr>
          <w:rFonts w:ascii="Arial" w:cs="Arial" w:eastAsia="Arial" w:hAnsi="Arial"/>
          <w:sz w:val="13"/>
          <w:szCs w:val="13"/>
          <w:color w:val="auto"/>
        </w:rPr>
      </w:pPr>
    </w:p>
    <w:p>
      <w:pPr>
        <w:ind w:left="400" w:hanging="192"/>
        <w:spacing w:after="0"/>
        <w:tabs>
          <w:tab w:leader="none" w:pos="400" w:val="left"/>
        </w:tabs>
        <w:numPr>
          <w:ilvl w:val="0"/>
          <w:numId w:val="8"/>
        </w:numPr>
        <w:rPr>
          <w:rFonts w:ascii="Arial" w:cs="Arial" w:eastAsia="Arial" w:hAnsi="Arial"/>
          <w:sz w:val="13"/>
          <w:szCs w:val="13"/>
          <w:color w:val="auto"/>
        </w:rPr>
      </w:pPr>
      <w:r>
        <w:rPr>
          <w:rFonts w:ascii="Arial" w:cs="Arial" w:eastAsia="Arial" w:hAnsi="Arial"/>
          <w:sz w:val="13"/>
          <w:szCs w:val="13"/>
          <w:color w:val="auto"/>
        </w:rPr>
        <w:t>Form 8-Ks filed during 2021.</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About Humana</w:t>
      </w:r>
    </w:p>
    <w:p>
      <w:pPr>
        <w:spacing w:after="0" w:line="163"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34" w:lineRule="exact"/>
        <w:rPr>
          <w:sz w:val="20"/>
          <w:szCs w:val="20"/>
          <w:color w:val="auto"/>
        </w:rPr>
      </w:pPr>
    </w:p>
    <w:p>
      <w:pPr>
        <w:ind w:right="160"/>
        <w:spacing w:after="0" w:line="251" w:lineRule="auto"/>
        <w:rPr>
          <w:sz w:val="20"/>
          <w:szCs w:val="20"/>
          <w:color w:val="auto"/>
        </w:rPr>
      </w:pPr>
      <w:r>
        <w:rPr>
          <w:rFonts w:ascii="Arial" w:cs="Arial" w:eastAsia="Arial" w:hAnsi="Arial"/>
          <w:sz w:val="13"/>
          <w:szCs w:val="13"/>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More information regarding Humana is available to investors via the Investor Relations page of the company’s website at humana.com, including copies of:</w:t>
      </w:r>
    </w:p>
    <w:p>
      <w:pPr>
        <w:spacing w:after="0" w:line="166" w:lineRule="exact"/>
        <w:rPr>
          <w:sz w:val="20"/>
          <w:szCs w:val="20"/>
          <w:color w:val="auto"/>
        </w:rPr>
      </w:pPr>
    </w:p>
    <w:p>
      <w:pPr>
        <w:ind w:left="400" w:hanging="192"/>
        <w:spacing w:after="0"/>
        <w:tabs>
          <w:tab w:leader="none" w:pos="400" w:val="left"/>
        </w:tabs>
        <w:numPr>
          <w:ilvl w:val="0"/>
          <w:numId w:val="9"/>
        </w:numPr>
        <w:rPr>
          <w:rFonts w:ascii="Arial" w:cs="Arial" w:eastAsia="Arial" w:hAnsi="Arial"/>
          <w:sz w:val="13"/>
          <w:szCs w:val="13"/>
          <w:color w:val="auto"/>
        </w:rPr>
      </w:pPr>
      <w:r>
        <w:rPr>
          <w:rFonts w:ascii="Arial" w:cs="Arial" w:eastAsia="Arial" w:hAnsi="Arial"/>
          <w:sz w:val="13"/>
          <w:szCs w:val="13"/>
          <w:color w:val="auto"/>
        </w:rPr>
        <w:t>Annual reports to stockholders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9"/>
        </w:numPr>
        <w:rPr>
          <w:rFonts w:ascii="Arial" w:cs="Arial" w:eastAsia="Arial" w:hAnsi="Arial"/>
          <w:sz w:val="13"/>
          <w:szCs w:val="13"/>
          <w:color w:val="auto"/>
        </w:rPr>
      </w:pPr>
      <w:r>
        <w:rPr>
          <w:rFonts w:ascii="Arial" w:cs="Arial" w:eastAsia="Arial" w:hAnsi="Arial"/>
          <w:sz w:val="13"/>
          <w:szCs w:val="13"/>
          <w:color w:val="auto"/>
        </w:rPr>
        <w:t>Securities and Exchange Commission filings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785" w:right="319" w:bottom="1440" w:gutter="0" w:footer="0" w:header="0"/>
        </w:sectPr>
      </w:pPr>
    </w:p>
    <w:bookmarkStart w:id="11" w:name="page12"/>
    <w:bookmarkEnd w:id="11"/>
    <w:p>
      <w:pPr>
        <w:ind w:left="200" w:hanging="192"/>
        <w:spacing w:after="0"/>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Most recent investor conference presentations</w:t>
      </w:r>
    </w:p>
    <w:p>
      <w:pPr>
        <w:spacing w:after="0" w:line="3" w:lineRule="exact"/>
        <w:rPr>
          <w:rFonts w:ascii="Arial" w:cs="Arial" w:eastAsia="Arial" w:hAnsi="Arial"/>
          <w:sz w:val="13"/>
          <w:szCs w:val="13"/>
          <w:color w:val="auto"/>
        </w:rPr>
      </w:pPr>
    </w:p>
    <w:p>
      <w:pPr>
        <w:ind w:left="200" w:hanging="192"/>
        <w:spacing w:after="0"/>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Quarterly earnings news releases and conference calls</w:t>
      </w:r>
    </w:p>
    <w:p>
      <w:pPr>
        <w:spacing w:after="0" w:line="3" w:lineRule="exact"/>
        <w:rPr>
          <w:rFonts w:ascii="Arial" w:cs="Arial" w:eastAsia="Arial" w:hAnsi="Arial"/>
          <w:sz w:val="13"/>
          <w:szCs w:val="13"/>
          <w:color w:val="auto"/>
        </w:rPr>
      </w:pPr>
    </w:p>
    <w:p>
      <w:pPr>
        <w:ind w:left="200" w:hanging="192"/>
        <w:spacing w:after="0"/>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Calendar of events</w:t>
      </w:r>
    </w:p>
    <w:p>
      <w:pPr>
        <w:spacing w:after="0" w:line="3" w:lineRule="exact"/>
        <w:rPr>
          <w:rFonts w:ascii="Arial" w:cs="Arial" w:eastAsia="Arial" w:hAnsi="Arial"/>
          <w:sz w:val="13"/>
          <w:szCs w:val="13"/>
          <w:color w:val="auto"/>
        </w:rPr>
      </w:pPr>
    </w:p>
    <w:p>
      <w:pPr>
        <w:ind w:left="200" w:hanging="192"/>
        <w:spacing w:after="0"/>
        <w:tabs>
          <w:tab w:leader="none" w:pos="2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Corporate Governance information</w:t>
      </w:r>
    </w:p>
    <w:p>
      <w:pPr>
        <w:spacing w:after="0" w:line="200" w:lineRule="exact"/>
        <w:rPr>
          <w:sz w:val="20"/>
          <w:szCs w:val="20"/>
          <w:color w:val="auto"/>
        </w:rPr>
      </w:pPr>
    </w:p>
    <w:p>
      <w:pPr>
        <w:spacing w:after="0" w:line="236" w:lineRule="exact"/>
        <w:rPr>
          <w:sz w:val="20"/>
          <w:szCs w:val="20"/>
          <w:color w:val="auto"/>
        </w:rPr>
      </w:pPr>
    </w:p>
    <w:p>
      <w:pPr>
        <w:jc w:val="right"/>
        <w:ind w:right="447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959"/>
          </w:cols>
          <w:pgMar w:left="500" w:top="785" w:right="1440"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n e w s </w:t>
      </w:r>
      <w:r>
        <w:rPr>
          <w:rFonts w:ascii="Arial" w:cs="Arial" w:eastAsia="Arial" w:hAnsi="Arial"/>
          <w:sz w:val="18"/>
          <w:szCs w:val="18"/>
          <w:color w:val="auto"/>
        </w:rPr>
        <w:t>r e l e a s e</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Exhibit 99.2</w:t>
      </w:r>
    </w:p>
    <w:p>
      <w:pPr>
        <w:spacing w:after="0" w:line="146" w:lineRule="exact"/>
        <w:rPr>
          <w:sz w:val="20"/>
          <w:szCs w:val="20"/>
          <w:color w:val="auto"/>
        </w:rPr>
      </w:pPr>
    </w:p>
    <w:p>
      <w:pPr>
        <w:ind w:left="9800"/>
        <w:spacing w:after="0"/>
        <w:rPr>
          <w:sz w:val="20"/>
          <w:szCs w:val="20"/>
          <w:color w:val="auto"/>
        </w:rPr>
      </w:pPr>
      <w:r>
        <w:rPr>
          <w:rFonts w:ascii="Arial" w:cs="Arial" w:eastAsia="Arial" w:hAnsi="Arial"/>
          <w:sz w:val="13"/>
          <w:szCs w:val="13"/>
          <w:color w:val="auto"/>
        </w:rPr>
        <w:t>Humana Inc.</w:t>
      </w:r>
    </w:p>
    <w:p>
      <w:pPr>
        <w:ind w:left="9800"/>
        <w:spacing w:after="0" w:line="202" w:lineRule="auto"/>
        <w:rPr>
          <w:sz w:val="20"/>
          <w:szCs w:val="20"/>
          <w:color w:val="auto"/>
        </w:rPr>
      </w:pPr>
      <w:r>
        <w:rPr>
          <w:rFonts w:ascii="Arial" w:cs="Arial" w:eastAsia="Arial" w:hAnsi="Arial"/>
          <w:sz w:val="13"/>
          <w:szCs w:val="13"/>
          <w:color w:val="auto"/>
        </w:rPr>
        <w:t>500 West Main Street</w:t>
      </w:r>
    </w:p>
    <w:p>
      <w:pPr>
        <w:ind w:left="9800"/>
        <w:spacing w:after="0" w:line="202" w:lineRule="auto"/>
        <w:rPr>
          <w:sz w:val="20"/>
          <w:szCs w:val="20"/>
          <w:color w:val="auto"/>
        </w:rPr>
      </w:pPr>
      <w:r>
        <w:rPr>
          <w:rFonts w:ascii="Arial" w:cs="Arial" w:eastAsia="Arial" w:hAnsi="Arial"/>
          <w:sz w:val="13"/>
          <w:szCs w:val="13"/>
          <w:color w:val="auto"/>
        </w:rPr>
        <w:t>P.O. Box 1438</w:t>
      </w:r>
    </w:p>
    <w:p>
      <w:pPr>
        <w:ind w:left="9800"/>
        <w:spacing w:after="0" w:line="202" w:lineRule="auto"/>
        <w:rPr>
          <w:sz w:val="20"/>
          <w:szCs w:val="20"/>
          <w:color w:val="auto"/>
        </w:rPr>
      </w:pPr>
      <w:r>
        <w:rPr>
          <w:rFonts w:ascii="Arial" w:cs="Arial" w:eastAsia="Arial" w:hAnsi="Arial"/>
          <w:sz w:val="13"/>
          <w:szCs w:val="13"/>
          <w:color w:val="auto"/>
        </w:rPr>
        <w:t>Louisville, KY 40202</w:t>
      </w:r>
    </w:p>
    <w:p>
      <w:pPr>
        <w:spacing w:after="0" w:line="1" w:lineRule="exact"/>
        <w:rPr>
          <w:sz w:val="20"/>
          <w:szCs w:val="20"/>
          <w:color w:val="auto"/>
        </w:rPr>
      </w:pPr>
    </w:p>
    <w:p>
      <w:pPr>
        <w:ind w:left="9800"/>
        <w:spacing w:after="0"/>
        <w:rPr>
          <w:sz w:val="20"/>
          <w:szCs w:val="20"/>
          <w:color w:val="auto"/>
        </w:rPr>
      </w:pPr>
      <w:r>
        <w:rPr>
          <w:rFonts w:ascii="Arial" w:cs="Arial" w:eastAsia="Arial" w:hAnsi="Arial"/>
          <w:sz w:val="13"/>
          <w:szCs w:val="13"/>
          <w:u w:val="single" w:color="auto"/>
          <w:color w:val="auto"/>
        </w:rPr>
        <w:t>http://www.humana.com</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FOR MORE INFORMATION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5927090</wp:posOffset>
            </wp:positionH>
            <wp:positionV relativeFrom="paragraph">
              <wp:posOffset>15240</wp:posOffset>
            </wp:positionV>
            <wp:extent cx="1240155" cy="371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0155" cy="37147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color w:val="auto"/>
        </w:rPr>
        <w:t>Amy Smith</w:t>
      </w:r>
    </w:p>
    <w:p>
      <w:pPr>
        <w:spacing w:after="0" w:line="202" w:lineRule="auto"/>
        <w:rPr>
          <w:sz w:val="20"/>
          <w:szCs w:val="20"/>
          <w:color w:val="auto"/>
        </w:rPr>
      </w:pPr>
      <w:r>
        <w:rPr>
          <w:rFonts w:ascii="Arial" w:cs="Arial" w:eastAsia="Arial" w:hAnsi="Arial"/>
          <w:sz w:val="13"/>
          <w:szCs w:val="13"/>
          <w:color w:val="auto"/>
        </w:rPr>
        <w:t>Humana Investor Relations</w:t>
      </w:r>
    </w:p>
    <w:p>
      <w:pPr>
        <w:spacing w:after="0" w:line="202" w:lineRule="auto"/>
        <w:rPr>
          <w:sz w:val="20"/>
          <w:szCs w:val="20"/>
          <w:color w:val="auto"/>
        </w:rPr>
      </w:pPr>
      <w:r>
        <w:rPr>
          <w:rFonts w:ascii="Arial" w:cs="Arial" w:eastAsia="Arial" w:hAnsi="Arial"/>
          <w:sz w:val="13"/>
          <w:szCs w:val="13"/>
          <w:color w:val="auto"/>
        </w:rPr>
        <w:t>(502) 580-2811</w:t>
      </w: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Amysmith@humana.com</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Kelley Murphy</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Humana Corporate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(502) 224-1755</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Kmurphy26@humana.com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Humana Reports First Quarter 2021 Financial Results;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Reaffirms Full Year 2021 Adjusted EPS Financial Guidance</w:t>
      </w:r>
    </w:p>
    <w:p>
      <w:pPr>
        <w:spacing w:after="0" w:line="279" w:lineRule="exact"/>
        <w:rPr>
          <w:sz w:val="20"/>
          <w:szCs w:val="20"/>
          <w:color w:val="auto"/>
        </w:rPr>
      </w:pPr>
    </w:p>
    <w:p>
      <w:pPr>
        <w:ind w:left="400" w:hanging="192"/>
        <w:spacing w:after="0"/>
        <w:tabs>
          <w:tab w:leader="none" w:pos="4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Reports 1Q21 earnings per diluted common share of $6.39 on a GAAP basis, $7.67 on an Adjusted basis</w:t>
      </w:r>
    </w:p>
    <w:p>
      <w:pPr>
        <w:spacing w:after="0" w:line="6" w:lineRule="exact"/>
        <w:rPr>
          <w:rFonts w:ascii="Arial" w:cs="Arial" w:eastAsia="Arial" w:hAnsi="Arial"/>
          <w:sz w:val="12"/>
          <w:szCs w:val="12"/>
          <w:color w:val="auto"/>
        </w:rPr>
      </w:pPr>
    </w:p>
    <w:p>
      <w:pPr>
        <w:ind w:left="420" w:right="80" w:hanging="212"/>
        <w:spacing w:after="0" w:line="250" w:lineRule="auto"/>
        <w:tabs>
          <w:tab w:leader="none" w:pos="399" w:val="left"/>
        </w:tabs>
        <w:numPr>
          <w:ilvl w:val="0"/>
          <w:numId w:val="11"/>
        </w:numPr>
        <w:rPr>
          <w:rFonts w:ascii="Arial" w:cs="Arial" w:eastAsia="Arial" w:hAnsi="Arial"/>
          <w:sz w:val="12"/>
          <w:szCs w:val="12"/>
          <w:color w:val="auto"/>
        </w:rPr>
      </w:pPr>
      <w:r>
        <w:rPr>
          <w:rFonts w:ascii="Arial" w:cs="Arial" w:eastAsia="Arial" w:hAnsi="Arial"/>
          <w:sz w:val="12"/>
          <w:szCs w:val="12"/>
          <w:color w:val="auto"/>
        </w:rPr>
        <w:t>Updates FY 2021 EPS guidance to a range of $19.62 to $20.12 on a GAAP basis, reaffirms $21.25 to $21.75 on Adjusted basis; while acknowledging the continued heightened uncertainty surrounding the ongoing pandemic</w:t>
      </w:r>
    </w:p>
    <w:p>
      <w:pPr>
        <w:ind w:left="400" w:hanging="192"/>
        <w:spacing w:after="0"/>
        <w:tabs>
          <w:tab w:leader="none" w:pos="4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Reaffirms FY 2021 expected individual Medicare Advantage membership growth range of approximately 425,000 to 475,000 members</w:t>
      </w:r>
    </w:p>
    <w:p>
      <w:pPr>
        <w:spacing w:after="0" w:line="6" w:lineRule="exact"/>
        <w:rPr>
          <w:rFonts w:ascii="Arial" w:cs="Arial" w:eastAsia="Arial" w:hAnsi="Arial"/>
          <w:sz w:val="12"/>
          <w:szCs w:val="12"/>
          <w:color w:val="auto"/>
        </w:rPr>
      </w:pPr>
    </w:p>
    <w:p>
      <w:pPr>
        <w:ind w:left="420" w:right="420" w:hanging="212"/>
        <w:spacing w:after="0" w:line="261" w:lineRule="auto"/>
        <w:tabs>
          <w:tab w:leader="none" w:pos="399"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Reflects solid performance across each of the company's segments, fueled by strong individual Medicare Advantage and state-based membership growth and improved profitability in the Group and Specialty and Healthcare Services segments</w:t>
      </w:r>
    </w:p>
    <w:p>
      <w:pPr>
        <w:spacing w:after="0" w:line="132" w:lineRule="exact"/>
        <w:rPr>
          <w:sz w:val="20"/>
          <w:szCs w:val="20"/>
          <w:color w:val="auto"/>
        </w:rPr>
      </w:pPr>
    </w:p>
    <w:p>
      <w:pPr>
        <w:ind w:right="420"/>
        <w:spacing w:after="0" w:line="269" w:lineRule="auto"/>
        <w:rPr>
          <w:sz w:val="20"/>
          <w:szCs w:val="20"/>
          <w:color w:val="auto"/>
        </w:rPr>
      </w:pPr>
      <w:r>
        <w:rPr>
          <w:rFonts w:ascii="Arial" w:cs="Arial" w:eastAsia="Arial" w:hAnsi="Arial"/>
          <w:sz w:val="13"/>
          <w:szCs w:val="13"/>
          <w:b w:val="1"/>
          <w:bCs w:val="1"/>
          <w:color w:val="auto"/>
        </w:rPr>
        <w:t xml:space="preserve">LOUISVILLE, KY (April 28, 2021) </w:t>
      </w:r>
      <w:r>
        <w:rPr>
          <w:rFonts w:ascii="Arial" w:cs="Arial" w:eastAsia="Arial" w:hAnsi="Arial"/>
          <w:sz w:val="13"/>
          <w:szCs w:val="13"/>
          <w:color w:val="auto"/>
        </w:rPr>
        <w:t>– Humana Inc. (NYSE: HUM) today reported consolidated pretax income and diluted earnings per common share for the quarter ended March 31, 2021</w:t>
      </w:r>
      <w:r>
        <w:rPr>
          <w:rFonts w:ascii="Arial" w:cs="Arial" w:eastAsia="Arial" w:hAnsi="Arial"/>
          <w:sz w:val="13"/>
          <w:szCs w:val="13"/>
          <w:b w:val="1"/>
          <w:bCs w:val="1"/>
          <w:color w:val="auto"/>
        </w:rPr>
        <w:t xml:space="preserve"> </w:t>
      </w:r>
      <w:r>
        <w:rPr>
          <w:rFonts w:ascii="Arial" w:cs="Arial" w:eastAsia="Arial" w:hAnsi="Arial"/>
          <w:sz w:val="13"/>
          <w:szCs w:val="13"/>
          <w:color w:val="auto"/>
        </w:rPr>
        <w:t>(1Q21) versus the quarter ended March 31, 2020 (1Q20) as noted in the tables below.</w:t>
      </w:r>
    </w:p>
    <w:p>
      <w:pPr>
        <w:spacing w:after="0" w:line="131" w:lineRule="exact"/>
        <w:rPr>
          <w:sz w:val="20"/>
          <w:szCs w:val="20"/>
          <w:color w:val="auto"/>
        </w:rPr>
      </w:pPr>
    </w:p>
    <w:tbl>
      <w:tblPr>
        <w:tblLayout w:type="fixed"/>
        <w:tblInd w:w="1350" w:type="dxa"/>
        <w:tblCellMar>
          <w:top w:w="0" w:type="dxa"/>
          <w:left w:w="0" w:type="dxa"/>
          <w:bottom w:w="0" w:type="dxa"/>
          <w:right w:w="0" w:type="dxa"/>
        </w:tblCellMar>
      </w:tblPr>
      <w:tr>
        <w:trPr>
          <w:trHeight w:val="152"/>
        </w:trPr>
        <w:tc>
          <w:tcPr>
            <w:tcW w:w="5980" w:type="dxa"/>
            <w:vAlign w:val="bottom"/>
            <w:tcBorders>
              <w:top w:val="single" w:sz="8" w:color="auto"/>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 xml:space="preserve">Consolidated income before income taxes and equity in earnings (pretax income) </w:t>
            </w:r>
            <w:r>
              <w:rPr>
                <w:rFonts w:ascii="Arial" w:cs="Arial" w:eastAsia="Arial" w:hAnsi="Arial"/>
                <w:sz w:val="11"/>
                <w:szCs w:val="11"/>
                <w:i w:val="1"/>
                <w:iCs w:val="1"/>
                <w:color w:val="auto"/>
              </w:rPr>
              <w:t>In millions</w:t>
            </w:r>
          </w:p>
        </w:tc>
        <w:tc>
          <w:tcPr>
            <w:tcW w:w="1320" w:type="dxa"/>
            <w:vAlign w:val="bottom"/>
            <w:tcBorders>
              <w:top w:val="single" w:sz="8" w:color="auto"/>
              <w:bottom w:val="single" w:sz="8" w:color="auto"/>
              <w:right w:val="single" w:sz="8" w:color="auto"/>
            </w:tcBorders>
            <w:shd w:val="clear" w:color="auto" w:fill="EAEAEA"/>
          </w:tcPr>
          <w:p>
            <w:pPr>
              <w:jc w:val="right"/>
              <w:ind w:right="406"/>
              <w:spacing w:after="0"/>
              <w:rPr>
                <w:sz w:val="20"/>
                <w:szCs w:val="20"/>
                <w:color w:val="auto"/>
              </w:rPr>
            </w:pPr>
            <w:r>
              <w:rPr>
                <w:rFonts w:ascii="Arial" w:cs="Arial" w:eastAsia="Arial" w:hAnsi="Arial"/>
                <w:sz w:val="11"/>
                <w:szCs w:val="11"/>
                <w:b w:val="1"/>
                <w:bCs w:val="1"/>
                <w:color w:val="auto"/>
              </w:rPr>
              <w:t>1Q21 (a)</w:t>
            </w:r>
          </w:p>
        </w:tc>
        <w:tc>
          <w:tcPr>
            <w:tcW w:w="1340" w:type="dxa"/>
            <w:vAlign w:val="bottom"/>
            <w:tcBorders>
              <w:top w:val="single" w:sz="8" w:color="auto"/>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color w:val="auto"/>
              </w:rPr>
              <w:t>1Q20 (b)</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Generally Accepted Accounting Principles (GAAP)</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$1,040</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$717</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Amortization associated with identifiable intangibles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15</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21</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Put/call valuation adjustments associated with company's non-consolidating minority interest investments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115</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297</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Change in fair market value of publicly-traded equity securities</w:t>
            </w:r>
          </w:p>
        </w:tc>
        <w:tc>
          <w:tcPr>
            <w:tcW w:w="13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85</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Adjusted (non-GAAP)</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$1,255</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$1,035</w:t>
            </w:r>
          </w:p>
        </w:tc>
      </w:tr>
      <w:tr>
        <w:trPr>
          <w:trHeight w:val="233"/>
        </w:trPr>
        <w:tc>
          <w:tcPr>
            <w:tcW w:w="59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132"/>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Diluted earnings per common share (EPS)</w:t>
            </w:r>
          </w:p>
        </w:tc>
        <w:tc>
          <w:tcPr>
            <w:tcW w:w="1320" w:type="dxa"/>
            <w:vAlign w:val="bottom"/>
            <w:tcBorders>
              <w:bottom w:val="single" w:sz="8" w:color="auto"/>
              <w:right w:val="single" w:sz="8" w:color="auto"/>
            </w:tcBorders>
            <w:shd w:val="clear" w:color="auto" w:fill="EAEAEA"/>
          </w:tcPr>
          <w:p>
            <w:pPr>
              <w:jc w:val="right"/>
              <w:ind w:right="406"/>
              <w:spacing w:after="0"/>
              <w:rPr>
                <w:sz w:val="20"/>
                <w:szCs w:val="20"/>
                <w:color w:val="auto"/>
              </w:rPr>
            </w:pPr>
            <w:r>
              <w:rPr>
                <w:rFonts w:ascii="Arial" w:cs="Arial" w:eastAsia="Arial" w:hAnsi="Arial"/>
                <w:sz w:val="11"/>
                <w:szCs w:val="11"/>
                <w:b w:val="1"/>
                <w:bCs w:val="1"/>
                <w:color w:val="auto"/>
              </w:rPr>
              <w:t>1Q21 (a)</w:t>
            </w:r>
          </w:p>
        </w:tc>
        <w:tc>
          <w:tcPr>
            <w:tcW w:w="1340" w:type="dxa"/>
            <w:vAlign w:val="bottom"/>
            <w:tcBorders>
              <w:bottom w:val="single" w:sz="8" w:color="auto"/>
              <w:right w:val="single" w:sz="8" w:color="auto"/>
            </w:tcBorders>
          </w:tcPr>
          <w:p>
            <w:pPr>
              <w:jc w:val="right"/>
              <w:ind w:right="426"/>
              <w:spacing w:after="0"/>
              <w:rPr>
                <w:sz w:val="20"/>
                <w:szCs w:val="20"/>
                <w:color w:val="auto"/>
              </w:rPr>
            </w:pPr>
            <w:r>
              <w:rPr>
                <w:rFonts w:ascii="Arial" w:cs="Arial" w:eastAsia="Arial" w:hAnsi="Arial"/>
                <w:sz w:val="11"/>
                <w:szCs w:val="11"/>
                <w:color w:val="auto"/>
              </w:rPr>
              <w:t>1Q20 (b)</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GAAP</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$6.39</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$3.56</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Amortization associated with identifiable intangibles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0.08</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0.12</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Put/call valuation adjustments associated with company's non-consolidating minority interest investments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0.69</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1.72</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color w:val="auto"/>
              </w:rPr>
              <w:t>Change in fair market value of publicly-traded equity securities</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0.51</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r>
      <w:tr>
        <w:trPr>
          <w:trHeight w:val="133"/>
        </w:trPr>
        <w:tc>
          <w:tcPr>
            <w:tcW w:w="598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Adjusted (non-GAAP)</w:t>
            </w:r>
          </w:p>
        </w:tc>
        <w:tc>
          <w:tcPr>
            <w:tcW w:w="132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$7.67</w:t>
            </w:r>
          </w:p>
        </w:tc>
        <w:tc>
          <w:tcPr>
            <w:tcW w:w="134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$5.40</w:t>
            </w:r>
          </w:p>
        </w:tc>
      </w:tr>
    </w:tbl>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792" w:right="319" w:bottom="1440" w:gutter="0" w:footer="0" w:header="0"/>
        </w:sectPr>
      </w:pPr>
    </w:p>
    <w:bookmarkStart w:id="13" w:name="page14"/>
    <w:bookmarkEnd w:id="13"/>
    <w:p>
      <w:pPr>
        <w:jc w:val="both"/>
        <w:spacing w:after="0" w:line="228" w:lineRule="auto"/>
        <w:rPr>
          <w:sz w:val="20"/>
          <w:szCs w:val="20"/>
          <w:color w:val="auto"/>
        </w:rPr>
      </w:pPr>
      <w:r>
        <w:rPr>
          <w:rFonts w:ascii="Arial" w:cs="Arial" w:eastAsia="Arial" w:hAnsi="Arial"/>
          <w:sz w:val="10"/>
          <w:szCs w:val="10"/>
          <w:color w:val="auto"/>
        </w:rPr>
        <w:t>The company has included financial measures throughout this earnings release that are not in accordance with GAAP. Management believes that these measures, when presented in conjunction with the comparable GAAP measures, are useful to both management and its investors in analyzing the company’s ongoing business and operating performance. Consequently, management uses these non-GAAP (Adjusted) financial measures as indicators of the company’s business performance, as well as for operational planning and decision making purposes. Non-GAAP (Adjusted) financial measures should be considered in addition to, but not as a substitute for, or superior to, financial measures prepared in accordance with GAAP. All financial measures in this press release are in accordance with GAAP unless otherwise indicated. Please refer to the footnotes for a detailed description of each item adjusted out of GAAP financial measures to arrive at a non-GAAP (Adjusted) financial measure.</w:t>
      </w:r>
    </w:p>
    <w:p>
      <w:pPr>
        <w:spacing w:after="0" w:line="295" w:lineRule="exact"/>
        <w:rPr>
          <w:sz w:val="20"/>
          <w:szCs w:val="20"/>
          <w:color w:val="auto"/>
        </w:rPr>
      </w:pPr>
    </w:p>
    <w:p>
      <w:pPr>
        <w:jc w:val="both"/>
        <w:spacing w:after="0" w:line="235" w:lineRule="auto"/>
        <w:rPr>
          <w:sz w:val="20"/>
          <w:szCs w:val="20"/>
          <w:color w:val="auto"/>
        </w:rPr>
      </w:pPr>
      <w:r>
        <w:rPr>
          <w:rFonts w:ascii="Arial" w:cs="Arial" w:eastAsia="Arial" w:hAnsi="Arial"/>
          <w:sz w:val="13"/>
          <w:szCs w:val="13"/>
          <w:color w:val="auto"/>
        </w:rPr>
        <w:t>“We’re pleased with the strong start of the year, with solid results across the company, and meaningful progress against our strategy, all while we continue to navigate the pandemic,” said Bruce D. Broussard, Humana’s President and Chief Executive Officer. “In partnership with federal, state and local governments, and with retailers and providers, we’re working to educate our members about the COVID-19 vaccines, ensuring individuals have access to a vaccine, especially those in underserved communities. Our full range of clinical capabilities, which will be even broader now with our recently announced acquisition of Kindred at Home, uniquely position us to help improve the health of our country’s most vulnerable populations. The home is highly effective not only in making access to care more convenient for people, but it also allows us to understand their environment and help them address other barriers that limit their ability to improve their health.”</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Summary of Quarterly Results</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3"/>
          <w:szCs w:val="13"/>
          <w:color w:val="auto"/>
        </w:rPr>
        <w:t>The company's year-over-year changes in GAAP and Adjusted pretax results in 1Q21 were favorably impacted by solid performance across each of the company's segments, fueled by strong individual Medicare Advantage and state-based contract membership growth and improved profitability in the Group and Specialty and Healthcare Services segments.</w:t>
      </w:r>
    </w:p>
    <w:p>
      <w:pPr>
        <w:spacing w:after="0" w:line="147"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auto"/>
        </w:rPr>
        <w:t>The year-over-year changes in GAAP and Adjusted EPS for 1Q21 reflected the same factors impacting GAAP and Adjusted consolidated pretax income comparisons as well as the beneficial tax impact of the termination of the health insurance industry fee (HIF) in 2021 and a lower number of shares used to compute EPS, primarily reflective of share repurchases.</w:t>
      </w:r>
    </w:p>
    <w:p>
      <w:pPr>
        <w:spacing w:after="0" w:line="147"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Humana’s 1Q21 GAAP results of operations were further impacted by the put/call valuation adjustments associated with the company's non-consolidating minority interest investments, along with the change in the fair market value of publicly-traded equity securities (primarily Oak Street Health, Inc.). The impact of these changes have been excluded in the company’s Adjusted (non-GAAP) consolidated results of operations as detailed in the tables above.</w:t>
      </w:r>
    </w:p>
    <w:p>
      <w:pPr>
        <w:spacing w:after="0" w:line="152"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Please refer to the tables above, as well as the consolidated and segment highlight sections that follow for additional discussion of the factors impacting the year-over-year comparisons.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935" w:right="299"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auto"/>
        </w:rPr>
        <w:t>In addition, below is a summary of key consolidated and segment statistics comparing 1Q21 to 1Q20.</w:t>
      </w:r>
    </w:p>
    <w:p>
      <w:pPr>
        <w:spacing w:after="0" w:line="148" w:lineRule="exact"/>
        <w:rPr>
          <w:sz w:val="20"/>
          <w:szCs w:val="20"/>
          <w:color w:val="auto"/>
        </w:rPr>
      </w:pPr>
    </w:p>
    <w:tbl>
      <w:tblPr>
        <w:tblLayout w:type="fixed"/>
        <w:tblInd w:w="1810" w:type="dxa"/>
        <w:tblCellMar>
          <w:top w:w="0" w:type="dxa"/>
          <w:left w:w="0" w:type="dxa"/>
          <w:bottom w:w="0" w:type="dxa"/>
          <w:right w:w="0" w:type="dxa"/>
        </w:tblCellMar>
      </w:tblPr>
      <w:tr>
        <w:trPr>
          <w:trHeight w:val="136"/>
        </w:trPr>
        <w:tc>
          <w:tcPr>
            <w:tcW w:w="3980" w:type="dxa"/>
            <w:vAlign w:val="bottom"/>
            <w:tcBorders>
              <w:top w:val="single" w:sz="8" w:color="auto"/>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b w:val="1"/>
                <w:bCs w:val="1"/>
                <w:color w:val="auto"/>
              </w:rPr>
              <w:t>Humana Inc. Summary of Quarterly Results</w:t>
            </w:r>
          </w:p>
        </w:tc>
        <w:tc>
          <w:tcPr>
            <w:tcW w:w="1860" w:type="dxa"/>
            <w:vAlign w:val="bottom"/>
            <w:tcBorders>
              <w:top w:val="single" w:sz="8" w:color="auto"/>
              <w:right w:val="single" w:sz="8" w:color="auto"/>
            </w:tcBorders>
            <w:gridSpan w:val="2"/>
            <w:vMerge w:val="restart"/>
            <w:shd w:val="clear" w:color="auto" w:fill="EAEAEA"/>
          </w:tcPr>
          <w:p>
            <w:pPr>
              <w:jc w:val="right"/>
              <w:ind w:right="666"/>
              <w:spacing w:after="0"/>
              <w:rPr>
                <w:sz w:val="20"/>
                <w:szCs w:val="20"/>
                <w:color w:val="auto"/>
              </w:rPr>
            </w:pPr>
            <w:r>
              <w:rPr>
                <w:rFonts w:ascii="Arial" w:cs="Arial" w:eastAsia="Arial" w:hAnsi="Arial"/>
                <w:sz w:val="11"/>
                <w:szCs w:val="11"/>
                <w:b w:val="1"/>
                <w:bCs w:val="1"/>
                <w:color w:val="auto"/>
              </w:rPr>
              <w:t>1Q21 (a)</w:t>
            </w:r>
          </w:p>
        </w:tc>
        <w:tc>
          <w:tcPr>
            <w:tcW w:w="186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(dollars in millions, except per share amounts)</w:t>
            </w:r>
          </w:p>
        </w:tc>
        <w:tc>
          <w:tcPr>
            <w:tcW w:w="1860" w:type="dxa"/>
            <w:vAlign w:val="bottom"/>
            <w:tcBorders>
              <w:bottom w:val="single" w:sz="8" w:color="auto"/>
              <w:right w:val="single" w:sz="8" w:color="auto"/>
            </w:tcBorders>
            <w:gridSpan w:val="2"/>
            <w:vMerge w:val="continue"/>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jc w:val="right"/>
              <w:ind w:right="666"/>
              <w:spacing w:after="0"/>
              <w:rPr>
                <w:sz w:val="20"/>
                <w:szCs w:val="20"/>
                <w:color w:val="auto"/>
              </w:rPr>
            </w:pPr>
            <w:r>
              <w:rPr>
                <w:rFonts w:ascii="Arial" w:cs="Arial" w:eastAsia="Arial" w:hAnsi="Arial"/>
                <w:sz w:val="11"/>
                <w:szCs w:val="11"/>
                <w:color w:val="auto"/>
              </w:rPr>
              <w:t>1Q20 (b)</w:t>
            </w:r>
          </w:p>
        </w:tc>
        <w:tc>
          <w:tcPr>
            <w:tcW w:w="0" w:type="dxa"/>
            <w:vAlign w:val="bottom"/>
          </w:tcPr>
          <w:p>
            <w:pPr>
              <w:spacing w:after="0"/>
              <w:rPr>
                <w:sz w:val="1"/>
                <w:szCs w:val="1"/>
                <w:color w:val="auto"/>
              </w:rPr>
            </w:pPr>
          </w:p>
        </w:tc>
      </w:tr>
      <w:tr>
        <w:trPr>
          <w:trHeight w:val="134"/>
        </w:trPr>
        <w:tc>
          <w:tcPr>
            <w:tcW w:w="398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Consolidated results:</w:t>
            </w:r>
          </w:p>
        </w:tc>
        <w:tc>
          <w:tcPr>
            <w:tcW w:w="1740" w:type="dxa"/>
            <w:vAlign w:val="bottom"/>
            <w:tcBorders>
              <w:bottom w:val="single" w:sz="8" w:color="auto"/>
            </w:tcBorders>
            <w:shd w:val="clear" w:color="auto" w:fill="EAEAEA"/>
          </w:tcPr>
          <w:p>
            <w:pPr>
              <w:spacing w:after="0"/>
              <w:rPr>
                <w:sz w:val="11"/>
                <w:szCs w:val="11"/>
                <w:color w:val="auto"/>
              </w:rPr>
            </w:pPr>
          </w:p>
        </w:tc>
        <w:tc>
          <w:tcPr>
            <w:tcW w:w="12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$20,668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$18,935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Adjusted</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$20,753</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$18,935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Pretax income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$1,040</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$717</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Pretax income - Adjusted</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$1,255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$1,035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Diluted EPS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$6.39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$3.56</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Diluted EPS - Adjusted</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$7.67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$5.40</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85.9</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85.1 %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9.7</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11.3 %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cash flows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($837)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$474</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Parent company cash and short term investments</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$547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$2,353</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Debt-to-total capitalization</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33.9 %</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39.2 %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Retail segment results:</w:t>
            </w:r>
          </w:p>
        </w:tc>
        <w:tc>
          <w:tcPr>
            <w:tcW w:w="1740" w:type="dxa"/>
            <w:vAlign w:val="bottom"/>
            <w:tcBorders>
              <w:bottom w:val="single" w:sz="8" w:color="auto"/>
            </w:tcBorders>
            <w:shd w:val="clear" w:color="auto" w:fill="EAEAEA"/>
          </w:tcPr>
          <w:p>
            <w:pPr>
              <w:spacing w:after="0"/>
              <w:rPr>
                <w:sz w:val="11"/>
                <w:szCs w:val="11"/>
                <w:color w:val="auto"/>
              </w:rPr>
            </w:pPr>
          </w:p>
        </w:tc>
        <w:tc>
          <w:tcPr>
            <w:tcW w:w="12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$18,648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$16,762</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87.7</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86.6 %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7.8</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9.2 %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$794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$685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Adjusted</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$798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$689</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Group and Specialty segment results:</w:t>
            </w:r>
          </w:p>
        </w:tc>
        <w:tc>
          <w:tcPr>
            <w:tcW w:w="1740" w:type="dxa"/>
            <w:vAlign w:val="bottom"/>
            <w:tcBorders>
              <w:bottom w:val="single" w:sz="8" w:color="auto"/>
            </w:tcBorders>
            <w:shd w:val="clear" w:color="auto" w:fill="EAEAEA"/>
          </w:tcPr>
          <w:p>
            <w:pPr>
              <w:spacing w:after="0"/>
              <w:rPr>
                <w:sz w:val="11"/>
                <w:szCs w:val="11"/>
                <w:color w:val="auto"/>
              </w:rPr>
            </w:pPr>
          </w:p>
        </w:tc>
        <w:tc>
          <w:tcPr>
            <w:tcW w:w="12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$1,737</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$1,865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Benefits expense ratio - GAAP</w:t>
            </w:r>
          </w:p>
        </w:tc>
        <w:tc>
          <w:tcPr>
            <w:tcW w:w="1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74.7</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79.1 %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740" w:type="dxa"/>
            <w:vAlign w:val="bottom"/>
            <w:tcBorders>
              <w:bottom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rPr>
              <w:t>22.9</w:t>
            </w:r>
          </w:p>
        </w:tc>
        <w:tc>
          <w:tcPr>
            <w:tcW w:w="120" w:type="dxa"/>
            <w:vAlign w:val="bottom"/>
            <w:tcBorders>
              <w:bottom w:val="single" w:sz="8" w:color="auto"/>
              <w:right w:val="single" w:sz="8" w:color="auto"/>
            </w:tcBorders>
            <w:shd w:val="clear" w:color="auto" w:fill="EAEAEA"/>
          </w:tcPr>
          <w:p>
            <w:pPr>
              <w:jc w:val="right"/>
              <w:spacing w:after="0"/>
              <w:rPr>
                <w:sz w:val="20"/>
                <w:szCs w:val="20"/>
                <w:color w:val="auto"/>
              </w:rPr>
            </w:pPr>
            <w:r>
              <w:rPr>
                <w:rFonts w:ascii="Arial" w:cs="Arial" w:eastAsia="Arial" w:hAnsi="Arial"/>
                <w:sz w:val="11"/>
                <w:szCs w:val="11"/>
                <w:b w:val="1"/>
                <w:bCs w:val="1"/>
                <w:color w:val="auto"/>
                <w:w w:val="81"/>
                <w:shd w:val="clear" w:color="auto" w:fill="EAEAEA"/>
              </w:rPr>
              <w:t>%</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23.1 %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$174</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Adjusted</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$175</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$106</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shd w:val="clear" w:color="auto" w:fill="EAEAEA"/>
          </w:tcPr>
          <w:p>
            <w:pPr>
              <w:ind w:left="20"/>
              <w:spacing w:after="0"/>
              <w:rPr>
                <w:sz w:val="20"/>
                <w:szCs w:val="20"/>
                <w:color w:val="auto"/>
              </w:rPr>
            </w:pPr>
            <w:r>
              <w:rPr>
                <w:rFonts w:ascii="Arial" w:cs="Arial" w:eastAsia="Arial" w:hAnsi="Arial"/>
                <w:sz w:val="11"/>
                <w:szCs w:val="11"/>
                <w:b w:val="1"/>
                <w:bCs w:val="1"/>
                <w:color w:val="auto"/>
              </w:rPr>
              <w:t>Healthcare Services segment results:</w:t>
            </w:r>
          </w:p>
        </w:tc>
        <w:tc>
          <w:tcPr>
            <w:tcW w:w="1740" w:type="dxa"/>
            <w:vAlign w:val="bottom"/>
            <w:tcBorders>
              <w:bottom w:val="single" w:sz="8" w:color="auto"/>
            </w:tcBorders>
            <w:shd w:val="clear" w:color="auto" w:fill="EAEAEA"/>
          </w:tcPr>
          <w:p>
            <w:pPr>
              <w:spacing w:after="0"/>
              <w:rPr>
                <w:sz w:val="11"/>
                <w:szCs w:val="11"/>
                <w:color w:val="auto"/>
              </w:rPr>
            </w:pPr>
          </w:p>
        </w:tc>
        <w:tc>
          <w:tcPr>
            <w:tcW w:w="120" w:type="dxa"/>
            <w:vAlign w:val="bottom"/>
            <w:tcBorders>
              <w:bottom w:val="single" w:sz="8" w:color="auto"/>
              <w:right w:val="single" w:sz="8" w:color="auto"/>
            </w:tcBorders>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Revenues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$7,198</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$7,085</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cost ratio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96.0 %</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96.0 %</w:t>
            </w:r>
          </w:p>
        </w:tc>
        <w:tc>
          <w:tcPr>
            <w:tcW w:w="0" w:type="dxa"/>
            <w:vAlign w:val="bottom"/>
          </w:tcPr>
          <w:p>
            <w:pPr>
              <w:spacing w:after="0"/>
              <w:rPr>
                <w:sz w:val="1"/>
                <w:szCs w:val="1"/>
                <w:color w:val="auto"/>
              </w:rPr>
            </w:pPr>
          </w:p>
        </w:tc>
      </w:tr>
      <w:tr>
        <w:trPr>
          <w:trHeight w:val="133"/>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Segment earnings - GAAP</w:t>
            </w:r>
          </w:p>
        </w:tc>
        <w:tc>
          <w:tcPr>
            <w:tcW w:w="1860" w:type="dxa"/>
            <w:vAlign w:val="bottom"/>
            <w:tcBorders>
              <w:bottom w:val="single" w:sz="8" w:color="auto"/>
              <w:right w:val="single" w:sz="8" w:color="auto"/>
            </w:tcBorders>
            <w:gridSpan w:val="2"/>
            <w:shd w:val="clear" w:color="auto" w:fill="EAEAEA"/>
          </w:tcPr>
          <w:p>
            <w:pPr>
              <w:jc w:val="right"/>
              <w:spacing w:after="0"/>
              <w:rPr>
                <w:sz w:val="20"/>
                <w:szCs w:val="20"/>
                <w:color w:val="auto"/>
              </w:rPr>
            </w:pPr>
            <w:r>
              <w:rPr>
                <w:rFonts w:ascii="Arial" w:cs="Arial" w:eastAsia="Arial" w:hAnsi="Arial"/>
                <w:sz w:val="11"/>
                <w:szCs w:val="11"/>
                <w:b w:val="1"/>
                <w:bCs w:val="1"/>
                <w:color w:val="auto"/>
              </w:rPr>
              <w:t>$269</w:t>
            </w: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08"/>
        </w:trPr>
        <w:tc>
          <w:tcPr>
            <w:tcW w:w="3980" w:type="dxa"/>
            <w:vAlign w:val="bottom"/>
            <w:tcBorders>
              <w:left w:val="single" w:sz="8" w:color="auto"/>
              <w:right w:val="single" w:sz="8" w:color="auto"/>
            </w:tcBorders>
          </w:tcPr>
          <w:p>
            <w:pPr>
              <w:ind w:left="20"/>
              <w:spacing w:after="0" w:line="109" w:lineRule="exact"/>
              <w:rPr>
                <w:sz w:val="20"/>
                <w:szCs w:val="20"/>
                <w:color w:val="auto"/>
              </w:rPr>
            </w:pPr>
            <w:r>
              <w:rPr>
                <w:rFonts w:ascii="Arial" w:cs="Arial" w:eastAsia="Arial" w:hAnsi="Arial"/>
                <w:sz w:val="11"/>
                <w:szCs w:val="11"/>
                <w:color w:val="auto"/>
                <w:w w:val="99"/>
              </w:rPr>
              <w:t>Adjusted earnings before interest, taxes, depreciation and amortization (Adjusted</w:t>
            </w:r>
          </w:p>
        </w:tc>
        <w:tc>
          <w:tcPr>
            <w:tcW w:w="1860" w:type="dxa"/>
            <w:vAlign w:val="bottom"/>
            <w:tcBorders>
              <w:right w:val="single" w:sz="8" w:color="auto"/>
            </w:tcBorders>
            <w:gridSpan w:val="2"/>
            <w:vMerge w:val="restart"/>
            <w:shd w:val="clear" w:color="auto" w:fill="EAEAEA"/>
          </w:tcPr>
          <w:p>
            <w:pPr>
              <w:jc w:val="right"/>
              <w:spacing w:after="0"/>
              <w:rPr>
                <w:sz w:val="20"/>
                <w:szCs w:val="20"/>
                <w:color w:val="auto"/>
              </w:rPr>
            </w:pPr>
            <w:r>
              <w:rPr>
                <w:rFonts w:ascii="Arial" w:cs="Arial" w:eastAsia="Arial" w:hAnsi="Arial"/>
                <w:sz w:val="11"/>
                <w:szCs w:val="11"/>
                <w:b w:val="1"/>
                <w:bCs w:val="1"/>
                <w:color w:val="auto"/>
              </w:rPr>
              <w:t>$329</w:t>
            </w:r>
          </w:p>
        </w:tc>
        <w:tc>
          <w:tcPr>
            <w:tcW w:w="18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39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EBITDA) (c)</w:t>
            </w:r>
          </w:p>
        </w:tc>
        <w:tc>
          <w:tcPr>
            <w:tcW w:w="1860" w:type="dxa"/>
            <w:vAlign w:val="bottom"/>
            <w:tcBorders>
              <w:bottom w:val="single" w:sz="8" w:color="auto"/>
              <w:right w:val="single" w:sz="8" w:color="auto"/>
            </w:tcBorders>
            <w:gridSpan w:val="2"/>
            <w:vMerge w:val="continue"/>
            <w:shd w:val="clear" w:color="auto" w:fill="EAEAEA"/>
          </w:tcPr>
          <w:p>
            <w:pPr>
              <w:spacing w:after="0"/>
              <w:rPr>
                <w:sz w:val="11"/>
                <w:szCs w:val="11"/>
                <w:color w:val="auto"/>
              </w:rPr>
            </w:pPr>
          </w:p>
        </w:tc>
        <w:tc>
          <w:tcPr>
            <w:tcW w:w="1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$319</w:t>
            </w:r>
          </w:p>
        </w:tc>
        <w:tc>
          <w:tcPr>
            <w:tcW w:w="0" w:type="dxa"/>
            <w:vAlign w:val="bottom"/>
          </w:tcPr>
          <w:p>
            <w:pPr>
              <w:spacing w:after="0"/>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2021 Earnings Guidance</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Humana is revising its GAAP EPS guidance range for the year ending December 31, 2021 (FY 2021) to $ 19.62 to $20.12 from the previous range of $20.82 to $21.32, reflecting the 1Q21 impact of the company's non-consolidating minority interest put/call valuation adjustments and the change in the fair market value of publicly-traded equity securities held by the company. While continuing to acknowledge the heightened uncertainty surrounding the ongoing pandemic, Humana is maintaining its FY 2021 Adjusted EPS guidance range of $21.25 to $21.75. GAAP and Adjusted results for FY 2020 are also shown for comparison. Additional FY 2021 guidance points are included in the table beginning on page 18 of this earnings release.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929" w:right="299" w:bottom="1440" w:gutter="0" w:footer="0" w:header="0"/>
        </w:sectPr>
      </w:pPr>
    </w:p>
    <w:bookmarkStart w:id="15" w:name="page16"/>
    <w:bookmarkEnd w:id="15"/>
    <w:tbl>
      <w:tblPr>
        <w:tblLayout w:type="fixed"/>
        <w:tblInd w:w="10" w:type="dxa"/>
        <w:tblCellMar>
          <w:top w:w="0" w:type="dxa"/>
          <w:left w:w="0" w:type="dxa"/>
          <w:bottom w:w="0" w:type="dxa"/>
          <w:right w:w="0" w:type="dxa"/>
        </w:tblCellMar>
      </w:tblPr>
      <w:tr>
        <w:trPr>
          <w:trHeight w:val="180"/>
        </w:trPr>
        <w:tc>
          <w:tcPr>
            <w:tcW w:w="8560" w:type="dxa"/>
            <w:vAlign w:val="bottom"/>
            <w:tcBorders>
              <w:top w:val="single" w:sz="8" w:color="auto"/>
              <w:left w:val="single" w:sz="8" w:color="auto"/>
              <w:right w:val="single" w:sz="8" w:color="auto"/>
            </w:tcBorders>
            <w:vMerge w:val="restart"/>
            <w:shd w:val="clear" w:color="auto" w:fill="EAEAEA"/>
          </w:tcPr>
          <w:p>
            <w:pPr>
              <w:ind w:left="3440"/>
              <w:spacing w:after="0"/>
              <w:rPr>
                <w:sz w:val="20"/>
                <w:szCs w:val="20"/>
                <w:color w:val="auto"/>
              </w:rPr>
            </w:pPr>
            <w:r>
              <w:rPr>
                <w:rFonts w:ascii="Arial" w:cs="Arial" w:eastAsia="Arial" w:hAnsi="Arial"/>
                <w:sz w:val="10"/>
                <w:szCs w:val="10"/>
                <w:b w:val="1"/>
                <w:bCs w:val="1"/>
                <w:color w:val="auto"/>
              </w:rPr>
              <w:t>Diluted earnings per common share</w:t>
            </w:r>
          </w:p>
        </w:tc>
        <w:tc>
          <w:tcPr>
            <w:tcW w:w="1420" w:type="dxa"/>
            <w:vAlign w:val="bottom"/>
            <w:tcBorders>
              <w:top w:val="single" w:sz="8" w:color="auto"/>
              <w:right w:val="single" w:sz="8" w:color="auto"/>
            </w:tcBorders>
            <w:shd w:val="clear" w:color="auto" w:fill="EAEAEA"/>
          </w:tcPr>
          <w:p>
            <w:pPr>
              <w:jc w:val="right"/>
              <w:ind w:right="508"/>
              <w:spacing w:after="0"/>
              <w:rPr>
                <w:sz w:val="20"/>
                <w:szCs w:val="20"/>
                <w:color w:val="auto"/>
              </w:rPr>
            </w:pPr>
            <w:r>
              <w:rPr>
                <w:rFonts w:ascii="Arial" w:cs="Arial" w:eastAsia="Arial" w:hAnsi="Arial"/>
                <w:sz w:val="10"/>
                <w:szCs w:val="10"/>
                <w:b w:val="1"/>
                <w:bCs w:val="1"/>
                <w:color w:val="auto"/>
              </w:rPr>
              <w:t>FY 2021</w:t>
            </w:r>
          </w:p>
        </w:tc>
        <w:tc>
          <w:tcPr>
            <w:tcW w:w="1280" w:type="dxa"/>
            <w:vAlign w:val="bottom"/>
            <w:tcBorders>
              <w:top w:val="single" w:sz="8" w:color="auto"/>
              <w:right w:val="single" w:sz="8" w:color="auto"/>
            </w:tcBorders>
            <w:vMerge w:val="restart"/>
            <w:shd w:val="clear" w:color="auto" w:fill="EAEAEA"/>
          </w:tcPr>
          <w:p>
            <w:pPr>
              <w:jc w:val="right"/>
              <w:ind w:right="347"/>
              <w:spacing w:after="0"/>
              <w:rPr>
                <w:sz w:val="20"/>
                <w:szCs w:val="20"/>
                <w:color w:val="auto"/>
              </w:rPr>
            </w:pPr>
            <w:r>
              <w:rPr>
                <w:rFonts w:ascii="Arial" w:cs="Arial" w:eastAsia="Arial" w:hAnsi="Arial"/>
                <w:sz w:val="10"/>
                <w:szCs w:val="10"/>
                <w:color w:val="auto"/>
              </w:rPr>
              <w:t>FY 2020 (e)</w:t>
            </w:r>
          </w:p>
        </w:tc>
        <w:tc>
          <w:tcPr>
            <w:tcW w:w="0" w:type="dxa"/>
            <w:vAlign w:val="bottom"/>
          </w:tcPr>
          <w:p>
            <w:pPr>
              <w:spacing w:after="0"/>
              <w:rPr>
                <w:sz w:val="1"/>
                <w:szCs w:val="1"/>
                <w:color w:val="auto"/>
              </w:rPr>
            </w:pPr>
          </w:p>
        </w:tc>
      </w:tr>
      <w:tr>
        <w:trPr>
          <w:trHeight w:val="117"/>
        </w:trPr>
        <w:tc>
          <w:tcPr>
            <w:tcW w:w="8560" w:type="dxa"/>
            <w:vAlign w:val="bottom"/>
            <w:tcBorders>
              <w:left w:val="single" w:sz="8" w:color="auto"/>
              <w:bottom w:val="single" w:sz="8" w:color="auto"/>
              <w:right w:val="single" w:sz="8" w:color="auto"/>
            </w:tcBorders>
            <w:vMerge w:val="continue"/>
            <w:shd w:val="clear" w:color="auto" w:fill="EAEAEA"/>
          </w:tcPr>
          <w:p>
            <w:pPr>
              <w:spacing w:after="0"/>
              <w:rPr>
                <w:sz w:val="10"/>
                <w:szCs w:val="10"/>
                <w:color w:val="auto"/>
              </w:rPr>
            </w:pPr>
          </w:p>
        </w:tc>
        <w:tc>
          <w:tcPr>
            <w:tcW w:w="1420" w:type="dxa"/>
            <w:vAlign w:val="bottom"/>
            <w:tcBorders>
              <w:bottom w:val="single" w:sz="8" w:color="auto"/>
              <w:right w:val="single" w:sz="8" w:color="auto"/>
            </w:tcBorders>
            <w:shd w:val="clear" w:color="auto" w:fill="EAEAEA"/>
          </w:tcPr>
          <w:p>
            <w:pPr>
              <w:jc w:val="right"/>
              <w:ind w:right="368"/>
              <w:spacing w:after="0"/>
              <w:rPr>
                <w:sz w:val="20"/>
                <w:szCs w:val="20"/>
                <w:color w:val="auto"/>
              </w:rPr>
            </w:pPr>
            <w:r>
              <w:rPr>
                <w:rFonts w:ascii="Arial" w:cs="Arial" w:eastAsia="Arial" w:hAnsi="Arial"/>
                <w:sz w:val="10"/>
                <w:szCs w:val="10"/>
                <w:b w:val="1"/>
                <w:bCs w:val="1"/>
                <w:color w:val="auto"/>
              </w:rPr>
              <w:t>Guidance (d)</w:t>
            </w:r>
          </w:p>
        </w:tc>
        <w:tc>
          <w:tcPr>
            <w:tcW w:w="1280" w:type="dxa"/>
            <w:vAlign w:val="bottom"/>
            <w:tcBorders>
              <w:bottom w:val="single" w:sz="8" w:color="auto"/>
              <w:right w:val="single" w:sz="8" w:color="auto"/>
            </w:tcBorders>
            <w:vMerge w:val="continue"/>
            <w:shd w:val="clear" w:color="auto" w:fill="EAEAEA"/>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GAAP</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$19.62 to $20.12</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color w:val="auto"/>
              </w:rPr>
              <w:t>$25.31</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Amortization of identifiable intangibles</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~$0.43</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color w:val="auto"/>
              </w:rPr>
              <w:t>0.51</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Put/call valuation adjustments associated with company's non-consolidating minority interest investments</w:t>
            </w:r>
          </w:p>
        </w:tc>
        <w:tc>
          <w:tcPr>
            <w:tcW w:w="14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0.69</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color w:val="auto"/>
              </w:rPr>
              <w:t>0.60</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Change in fair market value of publicly-traded equity securities</w:t>
            </w:r>
          </w:p>
        </w:tc>
        <w:tc>
          <w:tcPr>
            <w:tcW w:w="14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0.51</w:t>
            </w:r>
          </w:p>
        </w:tc>
        <w:tc>
          <w:tcPr>
            <w:tcW w:w="1280" w:type="dxa"/>
            <w:vAlign w:val="bottom"/>
            <w:tcBorders>
              <w:bottom w:val="single" w:sz="8" w:color="auto"/>
              <w:right w:val="single" w:sz="8" w:color="auto"/>
            </w:tcBorders>
          </w:tcPr>
          <w:p>
            <w:pPr>
              <w:jc w:val="right"/>
              <w:ind w:right="7"/>
              <w:spacing w:after="0"/>
              <w:rPr>
                <w:sz w:val="20"/>
                <w:szCs w:val="20"/>
                <w:color w:val="auto"/>
              </w:rPr>
            </w:pPr>
            <w:r>
              <w:rPr>
                <w:rFonts w:ascii="Arial" w:cs="Arial" w:eastAsia="Arial" w:hAnsi="Arial"/>
                <w:sz w:val="11"/>
                <w:szCs w:val="11"/>
                <w:color w:val="auto"/>
              </w:rPr>
              <w:t>(4.32)</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color w:val="auto"/>
              </w:rPr>
              <w:t>Receipt of commercial risk corridor receivables previously written off, net</w:t>
            </w:r>
          </w:p>
        </w:tc>
        <w:tc>
          <w:tcPr>
            <w:tcW w:w="14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b w:val="1"/>
                <w:bCs w:val="1"/>
                <w:color w:val="auto"/>
              </w:rPr>
              <w:t>—</w:t>
            </w:r>
          </w:p>
        </w:tc>
        <w:tc>
          <w:tcPr>
            <w:tcW w:w="1280" w:type="dxa"/>
            <w:vAlign w:val="bottom"/>
            <w:tcBorders>
              <w:bottom w:val="single" w:sz="8" w:color="auto"/>
              <w:right w:val="single" w:sz="8" w:color="auto"/>
            </w:tcBorders>
          </w:tcPr>
          <w:p>
            <w:pPr>
              <w:jc w:val="right"/>
              <w:ind w:right="7"/>
              <w:spacing w:after="0"/>
              <w:rPr>
                <w:sz w:val="20"/>
                <w:szCs w:val="20"/>
                <w:color w:val="auto"/>
              </w:rPr>
            </w:pPr>
            <w:r>
              <w:rPr>
                <w:rFonts w:ascii="Arial" w:cs="Arial" w:eastAsia="Arial" w:hAnsi="Arial"/>
                <w:sz w:val="11"/>
                <w:szCs w:val="11"/>
                <w:color w:val="auto"/>
              </w:rPr>
              <w:t>(3.35)</w:t>
            </w:r>
          </w:p>
        </w:tc>
        <w:tc>
          <w:tcPr>
            <w:tcW w:w="0" w:type="dxa"/>
            <w:vAlign w:val="bottom"/>
          </w:tcPr>
          <w:p>
            <w:pPr>
              <w:spacing w:after="0"/>
              <w:rPr>
                <w:sz w:val="1"/>
                <w:szCs w:val="1"/>
                <w:color w:val="auto"/>
              </w:rPr>
            </w:pPr>
          </w:p>
        </w:tc>
      </w:tr>
      <w:tr>
        <w:trPr>
          <w:trHeight w:val="133"/>
        </w:trPr>
        <w:tc>
          <w:tcPr>
            <w:tcW w:w="85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1"/>
                <w:szCs w:val="11"/>
                <w:b w:val="1"/>
                <w:bCs w:val="1"/>
                <w:color w:val="auto"/>
              </w:rPr>
              <w:t>Adjusted (non-GAAP) – FY 2021 projected; FY 2020 reported</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$21.25 to $21.75</w:t>
            </w:r>
          </w:p>
        </w:tc>
        <w:tc>
          <w:tcPr>
            <w:tcW w:w="1280" w:type="dxa"/>
            <w:vAlign w:val="bottom"/>
            <w:tcBorders>
              <w:bottom w:val="single" w:sz="8" w:color="auto"/>
              <w:right w:val="single" w:sz="8" w:color="auto"/>
            </w:tcBorders>
          </w:tcPr>
          <w:p>
            <w:pPr>
              <w:jc w:val="right"/>
              <w:ind w:right="27"/>
              <w:spacing w:after="0"/>
              <w:rPr>
                <w:sz w:val="20"/>
                <w:szCs w:val="20"/>
                <w:color w:val="auto"/>
              </w:rPr>
            </w:pPr>
            <w:r>
              <w:rPr>
                <w:rFonts w:ascii="Arial" w:cs="Arial" w:eastAsia="Arial" w:hAnsi="Arial"/>
                <w:sz w:val="11"/>
                <w:szCs w:val="11"/>
                <w:color w:val="auto"/>
              </w:rPr>
              <w:t>$18.75</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Humana Consolidated Highlights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Consolidated revenues</w:t>
      </w:r>
    </w:p>
    <w:p>
      <w:pPr>
        <w:spacing w:after="0" w:line="183" w:lineRule="exact"/>
        <w:rPr>
          <w:sz w:val="20"/>
          <w:szCs w:val="20"/>
          <w:color w:val="auto"/>
        </w:rPr>
      </w:pPr>
    </w:p>
    <w:tbl>
      <w:tblPr>
        <w:tblLayout w:type="fixed"/>
        <w:tblInd w:w="490" w:type="dxa"/>
        <w:tblCellMar>
          <w:top w:w="0" w:type="dxa"/>
          <w:left w:w="0" w:type="dxa"/>
          <w:bottom w:w="0" w:type="dxa"/>
          <w:right w:w="0" w:type="dxa"/>
        </w:tblCellMar>
      </w:tblPr>
      <w:tr>
        <w:trPr>
          <w:trHeight w:val="152"/>
        </w:trPr>
        <w:tc>
          <w:tcPr>
            <w:tcW w:w="55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Consolidated revenues</w:t>
            </w:r>
          </w:p>
        </w:tc>
        <w:tc>
          <w:tcPr>
            <w:tcW w:w="220" w:type="dxa"/>
            <w:vAlign w:val="bottom"/>
            <w:tcBorders>
              <w:top w:val="single" w:sz="8" w:color="auto"/>
              <w:bottom w:val="single" w:sz="8" w:color="auto"/>
            </w:tcBorders>
            <w:shd w:val="clear" w:color="auto" w:fill="EAEAEA"/>
          </w:tcPr>
          <w:p>
            <w:pPr>
              <w:spacing w:after="0"/>
              <w:rPr>
                <w:sz w:val="13"/>
                <w:szCs w:val="13"/>
                <w:color w:val="auto"/>
              </w:rPr>
            </w:pPr>
          </w:p>
        </w:tc>
        <w:tc>
          <w:tcPr>
            <w:tcW w:w="1000" w:type="dxa"/>
            <w:vAlign w:val="bottom"/>
            <w:tcBorders>
              <w:top w:val="single" w:sz="8" w:color="auto"/>
              <w:bottom w:val="single" w:sz="8" w:color="auto"/>
              <w:right w:val="single" w:sz="8" w:color="auto"/>
            </w:tcBorders>
            <w:shd w:val="clear" w:color="auto" w:fill="EAEAEA"/>
          </w:tcPr>
          <w:p>
            <w:pPr>
              <w:jc w:val="right"/>
              <w:ind w:right="366"/>
              <w:spacing w:after="0"/>
              <w:rPr>
                <w:sz w:val="20"/>
                <w:szCs w:val="20"/>
                <w:color w:val="auto"/>
              </w:rPr>
            </w:pPr>
            <w:r>
              <w:rPr>
                <w:rFonts w:ascii="Arial" w:cs="Arial" w:eastAsia="Arial" w:hAnsi="Arial"/>
                <w:sz w:val="11"/>
                <w:szCs w:val="11"/>
                <w:b w:val="1"/>
                <w:bCs w:val="1"/>
                <w:color w:val="auto"/>
              </w:rPr>
              <w:t>1Q21 (a)</w:t>
            </w:r>
          </w:p>
        </w:tc>
        <w:tc>
          <w:tcPr>
            <w:tcW w:w="3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right w:val="single" w:sz="8" w:color="auto"/>
            </w:tcBorders>
          </w:tcPr>
          <w:p>
            <w:pPr>
              <w:jc w:val="right"/>
              <w:ind w:right="546"/>
              <w:spacing w:after="0"/>
              <w:rPr>
                <w:sz w:val="20"/>
                <w:szCs w:val="20"/>
                <w:color w:val="auto"/>
              </w:rPr>
            </w:pPr>
            <w:r>
              <w:rPr>
                <w:rFonts w:ascii="Arial" w:cs="Arial" w:eastAsia="Arial" w:hAnsi="Arial"/>
                <w:sz w:val="11"/>
                <w:szCs w:val="11"/>
                <w:color w:val="auto"/>
              </w:rPr>
              <w:t>1Q20</w:t>
            </w:r>
          </w:p>
        </w:tc>
      </w:tr>
      <w:tr>
        <w:trPr>
          <w:trHeight w:val="133"/>
        </w:trPr>
        <w:tc>
          <w:tcPr>
            <w:tcW w:w="5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220" w:type="dxa"/>
            <w:vAlign w:val="bottom"/>
            <w:tcBorders>
              <w:bottom w:val="single" w:sz="8" w:color="auto"/>
            </w:tcBorders>
            <w:shd w:val="clear" w:color="auto" w:fill="EAEAEA"/>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right w:val="single" w:sz="8" w:color="auto"/>
            </w:tcBorders>
            <w:shd w:val="clear" w:color="auto" w:fill="EAEAEA"/>
          </w:tcPr>
          <w:p>
            <w:pPr>
              <w:jc w:val="right"/>
              <w:ind w:right="26"/>
              <w:spacing w:after="0"/>
              <w:rPr>
                <w:sz w:val="20"/>
                <w:szCs w:val="20"/>
                <w:color w:val="auto"/>
              </w:rPr>
            </w:pPr>
            <w:r>
              <w:rPr>
                <w:rFonts w:ascii="Arial" w:cs="Arial" w:eastAsia="Arial" w:hAnsi="Arial"/>
                <w:sz w:val="11"/>
                <w:szCs w:val="11"/>
                <w:b w:val="1"/>
                <w:bCs w:val="1"/>
                <w:color w:val="auto"/>
              </w:rPr>
              <w:t>20,668</w:t>
            </w: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18,935</w:t>
            </w:r>
          </w:p>
        </w:tc>
      </w:tr>
      <w:tr>
        <w:trPr>
          <w:trHeight w:val="133"/>
        </w:trPr>
        <w:tc>
          <w:tcPr>
            <w:tcW w:w="5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Change in fair market value of publicly-traded equity securities</w:t>
            </w:r>
          </w:p>
        </w:tc>
        <w:tc>
          <w:tcPr>
            <w:tcW w:w="220" w:type="dxa"/>
            <w:vAlign w:val="bottom"/>
            <w:tcBorders>
              <w:bottom w:val="single" w:sz="8" w:color="auto"/>
            </w:tcBorders>
            <w:shd w:val="clear" w:color="auto" w:fill="EAEAEA"/>
          </w:tcPr>
          <w:p>
            <w:pPr>
              <w:spacing w:after="0"/>
              <w:rPr>
                <w:sz w:val="11"/>
                <w:szCs w:val="11"/>
                <w:color w:val="auto"/>
              </w:rPr>
            </w:pPr>
          </w:p>
        </w:tc>
        <w:tc>
          <w:tcPr>
            <w:tcW w:w="1000" w:type="dxa"/>
            <w:vAlign w:val="bottom"/>
            <w:tcBorders>
              <w:bottom w:val="single" w:sz="8" w:color="auto"/>
              <w:right w:val="single" w:sz="8" w:color="auto"/>
            </w:tcBorders>
            <w:shd w:val="clear" w:color="auto" w:fill="EAEAEA"/>
          </w:tcPr>
          <w:p>
            <w:pPr>
              <w:jc w:val="right"/>
              <w:ind w:right="26"/>
              <w:spacing w:after="0"/>
              <w:rPr>
                <w:sz w:val="20"/>
                <w:szCs w:val="20"/>
                <w:color w:val="auto"/>
              </w:rPr>
            </w:pPr>
            <w:r>
              <w:rPr>
                <w:rFonts w:ascii="Arial" w:cs="Arial" w:eastAsia="Arial" w:hAnsi="Arial"/>
                <w:sz w:val="11"/>
                <w:szCs w:val="11"/>
                <w:b w:val="1"/>
                <w:bCs w:val="1"/>
                <w:color w:val="auto"/>
              </w:rPr>
              <w:t>85</w:t>
            </w:r>
          </w:p>
        </w:tc>
        <w:tc>
          <w:tcPr>
            <w:tcW w:w="32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r>
      <w:tr>
        <w:trPr>
          <w:trHeight w:val="133"/>
        </w:trPr>
        <w:tc>
          <w:tcPr>
            <w:tcW w:w="5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Adjusted (non-GAAP)</w:t>
            </w:r>
          </w:p>
        </w:tc>
        <w:tc>
          <w:tcPr>
            <w:tcW w:w="220" w:type="dxa"/>
            <w:vAlign w:val="bottom"/>
            <w:tcBorders>
              <w:bottom w:val="single" w:sz="8" w:color="auto"/>
            </w:tcBorders>
            <w:shd w:val="clear" w:color="auto" w:fill="EAEAEA"/>
          </w:tcPr>
          <w:p>
            <w:pPr>
              <w:jc w:val="right"/>
              <w:ind w:right="111"/>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right w:val="single" w:sz="8" w:color="auto"/>
            </w:tcBorders>
            <w:shd w:val="clear" w:color="auto" w:fill="EAEAEA"/>
          </w:tcPr>
          <w:p>
            <w:pPr>
              <w:jc w:val="right"/>
              <w:ind w:right="26"/>
              <w:spacing w:after="0"/>
              <w:rPr>
                <w:sz w:val="20"/>
                <w:szCs w:val="20"/>
                <w:color w:val="auto"/>
              </w:rPr>
            </w:pPr>
            <w:r>
              <w:rPr>
                <w:rFonts w:ascii="Arial" w:cs="Arial" w:eastAsia="Arial" w:hAnsi="Arial"/>
                <w:sz w:val="11"/>
                <w:szCs w:val="11"/>
                <w:b w:val="1"/>
                <w:bCs w:val="1"/>
                <w:color w:val="auto"/>
              </w:rPr>
              <w:t>20,753</w:t>
            </w: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18,935</w:t>
            </w:r>
          </w:p>
        </w:tc>
      </w:tr>
    </w:tbl>
    <w:p>
      <w:pPr>
        <w:spacing w:after="0" w:line="142"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GAAP consolidated revenues for 1Q21 were $20.67 billion, an increase of $1.73 billion, or 9 percent, from $18.94 billion in 1Q20. Total premiums and services revenues of $20.59 billion in 1Q21 increased $1.80 billion, or 10 percent, from $18.79 billion in 1Q20. The favorable year-over-year comparisons were primarily driven by the following factors:</w:t>
      </w:r>
    </w:p>
    <w:p>
      <w:pPr>
        <w:spacing w:after="0" w:line="129" w:lineRule="exact"/>
        <w:rPr>
          <w:sz w:val="20"/>
          <w:szCs w:val="20"/>
          <w:color w:val="auto"/>
        </w:rPr>
      </w:pPr>
    </w:p>
    <w:p>
      <w:pPr>
        <w:ind w:left="400" w:hanging="192"/>
        <w:spacing w:after="0"/>
        <w:tabs>
          <w:tab w:leader="none" w:pos="4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individual Medicare Advantage and state-based contracts membership growth; and</w:t>
      </w:r>
    </w:p>
    <w:p>
      <w:pPr>
        <w:spacing w:after="0" w:line="147" w:lineRule="exact"/>
        <w:rPr>
          <w:rFonts w:ascii="Arial" w:cs="Arial" w:eastAsia="Arial" w:hAnsi="Arial"/>
          <w:sz w:val="13"/>
          <w:szCs w:val="13"/>
          <w:color w:val="auto"/>
        </w:rPr>
      </w:pPr>
    </w:p>
    <w:p>
      <w:pPr>
        <w:ind w:left="420" w:right="20" w:hanging="212"/>
        <w:spacing w:after="0" w:line="258" w:lineRule="auto"/>
        <w:tabs>
          <w:tab w:leader="none" w:pos="394" w:val="left"/>
        </w:tabs>
        <w:numPr>
          <w:ilvl w:val="0"/>
          <w:numId w:val="12"/>
        </w:numPr>
        <w:rPr>
          <w:rFonts w:ascii="Arial" w:cs="Arial" w:eastAsia="Arial" w:hAnsi="Arial"/>
          <w:sz w:val="13"/>
          <w:szCs w:val="13"/>
          <w:color w:val="auto"/>
        </w:rPr>
      </w:pPr>
      <w:r>
        <w:rPr>
          <w:rFonts w:ascii="Arial" w:cs="Arial" w:eastAsia="Arial" w:hAnsi="Arial"/>
          <w:sz w:val="13"/>
          <w:szCs w:val="13"/>
          <w:color w:val="auto"/>
        </w:rPr>
        <w:t>higher per member individual Medicare Advantage premiums as a result of the improving CMS benchmark rate for 2021 and the impact of Medicare sequestration relief in 1Q21 that was not enacted until the second quarter of 2020, partially offset by Medicare Risk Adjustment (MRA) headwinds resulting from COVID-19 related utilization disruption in 2020.</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These increases were partially offset by declining year-over-year stand-alone PDP, group commercial medical, and group Medicare Advantage membership.</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Adjusted consolidated revenues for 1Q21 were impacted by the same factors affecting the GAAP comparisons while excluding the impact of the factor detailed in the table above.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Consolidated benefits expense</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The 1Q21 and 1Q20 GAAP consolidated benefit ratios were 85.9 percent and 85.1 percent,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The year-over-year increase in the quarterly GAAP comparison reflects the following factors:</w:t>
      </w:r>
    </w:p>
    <w:p>
      <w:pPr>
        <w:spacing w:after="0" w:line="166" w:lineRule="exact"/>
        <w:rPr>
          <w:sz w:val="20"/>
          <w:szCs w:val="20"/>
          <w:color w:val="auto"/>
        </w:rPr>
      </w:pPr>
    </w:p>
    <w:p>
      <w:pPr>
        <w:ind w:left="400" w:hanging="192"/>
        <w:spacing w:after="0"/>
        <w:tabs>
          <w:tab w:leader="none" w:pos="4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termination in 2021 of the non-deductible HIF which, along with a portion of the related tax benefit, was contemplated in the pricing and benefit design of the company's products; and</w:t>
      </w:r>
    </w:p>
    <w:p>
      <w:pPr>
        <w:spacing w:after="0" w:line="165" w:lineRule="exact"/>
        <w:rPr>
          <w:rFonts w:ascii="Arial" w:cs="Arial" w:eastAsia="Arial" w:hAnsi="Arial"/>
          <w:sz w:val="13"/>
          <w:szCs w:val="13"/>
          <w:color w:val="auto"/>
        </w:rPr>
      </w:pPr>
    </w:p>
    <w:p>
      <w:pPr>
        <w:ind w:left="420" w:hanging="212"/>
        <w:spacing w:after="0" w:line="258" w:lineRule="auto"/>
        <w:tabs>
          <w:tab w:leader="none" w:pos="394"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impact in 1Q21 associated with the competitive nature of the group Medicare Advantage business, particularly in large group accounts that were recently procured, as well as in the stand-alone PDP business.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These factors were partially offset by higher favorable prior period medical claims reserve development (Prior Period Development) in 1Q21 as further described below.</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930" w:right="299"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u w:val="single" w:color="auto"/>
          <w:color w:val="auto"/>
        </w:rPr>
        <w:t>Prior Period Medical Claims Reserve Development (Prior Period Development)</w:t>
      </w:r>
    </w:p>
    <w:p>
      <w:pPr>
        <w:spacing w:after="0" w:line="16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As anticipated, Humana experienced a higher level of favorable Prior Period Development in 1Q21 as a result of the reversal of actions taken in 2020, including the suspension of certain financial recovery programs for a period of time. The suspension during 2020 was intended to provide financial and administrative relief for providers facing unprecedented strain as a result of the COVID-19 pandemic.</w:t>
      </w:r>
    </w:p>
    <w:p>
      <w:pPr>
        <w:spacing w:after="0" w:line="134" w:lineRule="exact"/>
        <w:rPr>
          <w:sz w:val="20"/>
          <w:szCs w:val="20"/>
          <w:color w:val="auto"/>
        </w:rPr>
      </w:pPr>
    </w:p>
    <w:p>
      <w:pPr>
        <w:jc w:val="both"/>
        <w:ind w:right="20"/>
        <w:spacing w:after="0" w:line="258" w:lineRule="auto"/>
        <w:rPr>
          <w:sz w:val="20"/>
          <w:szCs w:val="20"/>
          <w:color w:val="auto"/>
        </w:rPr>
      </w:pPr>
      <w:r>
        <w:rPr>
          <w:rFonts w:ascii="Arial" w:cs="Arial" w:eastAsia="Arial" w:hAnsi="Arial"/>
          <w:sz w:val="13"/>
          <w:szCs w:val="13"/>
          <w:color w:val="auto"/>
        </w:rPr>
        <w:t>Favorable Prior Period Development of $555 million in 1Q21 decreased the consolidated benefit ratio by 280 basis points while favorable Prior Period Development of $284 million in 1Q20 decreased the consolidated benefit ratio by 150 basis points.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Consolidated operating expenses</w:t>
      </w:r>
    </w:p>
    <w:p>
      <w:pPr>
        <w:spacing w:after="0" w:line="183" w:lineRule="exact"/>
        <w:rPr>
          <w:sz w:val="20"/>
          <w:szCs w:val="20"/>
          <w:color w:val="auto"/>
        </w:rPr>
      </w:pPr>
    </w:p>
    <w:p>
      <w:pPr>
        <w:ind w:right="80"/>
        <w:spacing w:after="0" w:line="258" w:lineRule="auto"/>
        <w:rPr>
          <w:sz w:val="20"/>
          <w:szCs w:val="20"/>
          <w:color w:val="auto"/>
        </w:rPr>
      </w:pPr>
      <w:r>
        <w:rPr>
          <w:rFonts w:ascii="Arial" w:cs="Arial" w:eastAsia="Arial" w:hAnsi="Arial"/>
          <w:sz w:val="13"/>
          <w:szCs w:val="13"/>
          <w:color w:val="auto"/>
        </w:rPr>
        <w:t>The 1Q21 GAAP consolidated operating cost ratio (operating costs as a percent of total revenues less investment income) of 9.7 percent decreased 160 basis points from the 1Q20 ratio of 11.3 percent. The decrease was primarily related to the following factors:</w:t>
      </w:r>
    </w:p>
    <w:p>
      <w:pPr>
        <w:spacing w:after="0" w:line="129" w:lineRule="exact"/>
        <w:rPr>
          <w:sz w:val="20"/>
          <w:szCs w:val="20"/>
          <w:color w:val="auto"/>
        </w:rPr>
      </w:pPr>
    </w:p>
    <w:p>
      <w:pPr>
        <w:ind w:left="400" w:hanging="192"/>
        <w:spacing w:after="0"/>
        <w:tabs>
          <w:tab w:leader="none" w:pos="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termination of the non-deductible HIF in 2021, which increased the consolidated GAAP operating cost ratio by approximately 160 basis points in 1Q20,</w:t>
      </w:r>
    </w:p>
    <w:p>
      <w:pPr>
        <w:spacing w:after="0" w:line="147" w:lineRule="exact"/>
        <w:rPr>
          <w:rFonts w:ascii="Arial" w:cs="Arial" w:eastAsia="Arial" w:hAnsi="Arial"/>
          <w:sz w:val="13"/>
          <w:szCs w:val="13"/>
          <w:color w:val="auto"/>
        </w:rPr>
      </w:pPr>
    </w:p>
    <w:p>
      <w:pPr>
        <w:ind w:left="400" w:hanging="192"/>
        <w:spacing w:after="0"/>
        <w:tabs>
          <w:tab w:leader="none" w:pos="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scale efficiencies associated with growth in the company's Medicare Advantage membership,</w:t>
      </w:r>
    </w:p>
    <w:p>
      <w:pPr>
        <w:spacing w:after="0" w:line="147" w:lineRule="exact"/>
        <w:rPr>
          <w:rFonts w:ascii="Arial" w:cs="Arial" w:eastAsia="Arial" w:hAnsi="Arial"/>
          <w:sz w:val="13"/>
          <w:szCs w:val="13"/>
          <w:color w:val="auto"/>
        </w:rPr>
      </w:pPr>
    </w:p>
    <w:p>
      <w:pPr>
        <w:ind w:left="400" w:hanging="192"/>
        <w:spacing w:after="0"/>
        <w:tabs>
          <w:tab w:leader="none" w:pos="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operating cost efficiencies in 1Q21 driven by previously implemented productivity initiatives, and</w:t>
      </w:r>
    </w:p>
    <w:p>
      <w:pPr>
        <w:spacing w:after="0" w:line="147" w:lineRule="exact"/>
        <w:rPr>
          <w:rFonts w:ascii="Arial" w:cs="Arial" w:eastAsia="Arial" w:hAnsi="Arial"/>
          <w:sz w:val="13"/>
          <w:szCs w:val="13"/>
          <w:color w:val="auto"/>
        </w:rPr>
      </w:pPr>
    </w:p>
    <w:p>
      <w:pPr>
        <w:ind w:left="400" w:hanging="192"/>
        <w:spacing w:after="0"/>
        <w:tabs>
          <w:tab w:leader="none" w:pos="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lower COVID-19 related administrative costs in 1Q21 compared to 1Q20.</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These improvements were partially offset by continued strategic investments made to position the company for long-term success.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Balance sheet</w:t>
      </w:r>
    </w:p>
    <w:p>
      <w:pPr>
        <w:spacing w:after="0" w:line="165" w:lineRule="exact"/>
        <w:rPr>
          <w:sz w:val="20"/>
          <w:szCs w:val="20"/>
          <w:color w:val="auto"/>
        </w:rPr>
      </w:pPr>
    </w:p>
    <w:p>
      <w:pPr>
        <w:jc w:val="both"/>
        <w:ind w:left="420" w:right="20" w:hanging="212"/>
        <w:spacing w:after="0" w:line="251" w:lineRule="auto"/>
        <w:tabs>
          <w:tab w:leader="none" w:pos="394" w:val="left"/>
        </w:tabs>
        <w:numPr>
          <w:ilvl w:val="0"/>
          <w:numId w:val="15"/>
        </w:numPr>
        <w:rPr>
          <w:rFonts w:ascii="Arial" w:cs="Arial" w:eastAsia="Arial" w:hAnsi="Arial"/>
          <w:sz w:val="13"/>
          <w:szCs w:val="13"/>
          <w:color w:val="auto"/>
        </w:rPr>
      </w:pPr>
      <w:r>
        <w:rPr>
          <w:rFonts w:ascii="Arial" w:cs="Arial" w:eastAsia="Arial" w:hAnsi="Arial"/>
          <w:sz w:val="13"/>
          <w:szCs w:val="13"/>
          <w:color w:val="auto"/>
        </w:rPr>
        <w:t>At March 31, 2021, the company had cash, cash equivalents, and investment securities of $18.25 billion, down approximately $191 million, or 1 percent, from $18.44 billion at December 31, 2020 primarily resulting from capital expenditures, acquisitions, and cash dividends to shareholders, partially offset by the issuance of commercial paper. Detailed changes are outlined in the company’s consolidated statement of cash flows on pages S-5 of the statistical supplement included in this release.</w:t>
      </w:r>
    </w:p>
    <w:p>
      <w:pPr>
        <w:spacing w:after="0" w:line="97" w:lineRule="exact"/>
        <w:rPr>
          <w:rFonts w:ascii="Arial" w:cs="Arial" w:eastAsia="Arial" w:hAnsi="Arial"/>
          <w:sz w:val="13"/>
          <w:szCs w:val="13"/>
          <w:color w:val="auto"/>
        </w:rPr>
      </w:pPr>
    </w:p>
    <w:p>
      <w:pPr>
        <w:jc w:val="both"/>
        <w:ind w:left="420" w:hanging="212"/>
        <w:spacing w:after="0" w:line="251" w:lineRule="auto"/>
        <w:tabs>
          <w:tab w:leader="none" w:pos="394" w:val="left"/>
        </w:tabs>
        <w:numPr>
          <w:ilvl w:val="0"/>
          <w:numId w:val="15"/>
        </w:numPr>
        <w:rPr>
          <w:rFonts w:ascii="Arial" w:cs="Arial" w:eastAsia="Arial" w:hAnsi="Arial"/>
          <w:sz w:val="13"/>
          <w:szCs w:val="13"/>
          <w:color w:val="auto"/>
        </w:rPr>
      </w:pPr>
      <w:r>
        <w:rPr>
          <w:rFonts w:ascii="Arial" w:cs="Arial" w:eastAsia="Arial" w:hAnsi="Arial"/>
          <w:sz w:val="13"/>
          <w:szCs w:val="13"/>
          <w:color w:val="auto"/>
        </w:rPr>
        <w:t>At March 31, 2021, cash and short-term investments held at the parent company of $547 million decreased approximately $225 million, or 29 percent, from $772 million at December 31, 2020. The sequential change primarily reflects acquisitions, capital expenditures, cash dividends to shareholders, and capital contributions to certain subsidiaries, partially offset by the issuance of commercial paper and an increase in non-regulated subsidiary earnings in the company's Healthcare Services segment.</w:t>
      </w:r>
    </w:p>
    <w:p>
      <w:pPr>
        <w:spacing w:after="0" w:line="97" w:lineRule="exact"/>
        <w:rPr>
          <w:rFonts w:ascii="Arial" w:cs="Arial" w:eastAsia="Arial" w:hAnsi="Arial"/>
          <w:sz w:val="13"/>
          <w:szCs w:val="13"/>
          <w:color w:val="auto"/>
        </w:rPr>
      </w:pPr>
    </w:p>
    <w:p>
      <w:pPr>
        <w:ind w:left="420" w:hanging="212"/>
        <w:spacing w:after="0" w:line="258" w:lineRule="auto"/>
        <w:tabs>
          <w:tab w:leader="none" w:pos="394" w:val="left"/>
        </w:tabs>
        <w:numPr>
          <w:ilvl w:val="0"/>
          <w:numId w:val="15"/>
        </w:numPr>
        <w:rPr>
          <w:rFonts w:ascii="Arial" w:cs="Arial" w:eastAsia="Arial" w:hAnsi="Arial"/>
          <w:sz w:val="13"/>
          <w:szCs w:val="13"/>
          <w:color w:val="auto"/>
        </w:rPr>
      </w:pPr>
      <w:r>
        <w:rPr>
          <w:rFonts w:ascii="Arial" w:cs="Arial" w:eastAsia="Arial" w:hAnsi="Arial"/>
          <w:sz w:val="13"/>
          <w:szCs w:val="13"/>
          <w:color w:val="auto"/>
        </w:rPr>
        <w:t>Days in claims payable (DCP) of 45.0 days at March 31, 2021, decreased by 1.2 days from 46.2 days at December 31, 2020 but increased 3.7 days from 41.3 days at March 31, 2020. Changes are outlined in the DCP rollforward on page S-13 of the statistical supplement included in this release.</w:t>
      </w:r>
    </w:p>
    <w:p>
      <w:pPr>
        <w:spacing w:after="0" w:line="92" w:lineRule="exact"/>
        <w:rPr>
          <w:rFonts w:ascii="Arial" w:cs="Arial" w:eastAsia="Arial" w:hAnsi="Arial"/>
          <w:sz w:val="13"/>
          <w:szCs w:val="13"/>
          <w:color w:val="auto"/>
        </w:rPr>
      </w:pPr>
    </w:p>
    <w:p>
      <w:pPr>
        <w:jc w:val="both"/>
        <w:ind w:left="420" w:right="20" w:hanging="212"/>
        <w:spacing w:after="0" w:line="251" w:lineRule="auto"/>
        <w:tabs>
          <w:tab w:leader="none" w:pos="394" w:val="left"/>
        </w:tabs>
        <w:numPr>
          <w:ilvl w:val="0"/>
          <w:numId w:val="15"/>
        </w:numPr>
        <w:rPr>
          <w:rFonts w:ascii="Arial" w:cs="Arial" w:eastAsia="Arial" w:hAnsi="Arial"/>
          <w:sz w:val="13"/>
          <w:szCs w:val="13"/>
          <w:color w:val="auto"/>
        </w:rPr>
      </w:pPr>
      <w:r>
        <w:rPr>
          <w:rFonts w:ascii="Arial" w:cs="Arial" w:eastAsia="Arial" w:hAnsi="Arial"/>
          <w:sz w:val="13"/>
          <w:szCs w:val="13"/>
          <w:color w:val="auto"/>
        </w:rPr>
        <w:t>Debt-to-total capitalization at March 31, 2021 was 33.9 percent, up 120 basis points from 32.7 percent at December 31, 2020, but down 530 basis points from 39.2 percent at March 31, 2020. The sequential increase primarily resulted from the issuance of commercial paper, partially offset by the impact of the 1Q21 earnings. Debt-to-total capitalization at 1Q20 was impacted by net proceeds of a $1.10 billion senior note issuance as well as proceeds from a term loan.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769" w:right="299" w:bottom="1440" w:gutter="0" w:footer="0" w:header="0"/>
        </w:sectPr>
      </w:pPr>
    </w:p>
    <w:bookmarkStart w:id="17" w:name="page18"/>
    <w:bookmarkEnd w:id="17"/>
    <w:p>
      <w:pPr>
        <w:jc w:val="both"/>
        <w:ind w:left="420"/>
        <w:spacing w:after="0" w:line="251" w:lineRule="auto"/>
        <w:rPr>
          <w:sz w:val="20"/>
          <w:szCs w:val="20"/>
          <w:color w:val="auto"/>
        </w:rPr>
      </w:pPr>
      <w:r>
        <w:rPr>
          <w:rFonts w:ascii="Arial" w:cs="Arial" w:eastAsia="Arial" w:hAnsi="Arial"/>
          <w:sz w:val="13"/>
          <w:szCs w:val="13"/>
          <w:color w:val="auto"/>
        </w:rPr>
        <w:t>The company’s long-term debt-to-total capitalization target of approximately 35 percent is expected to allow the company to maintain its investment grade credit rating while providing significant financial flexibility. At times, the company's debt-to-total capitalization will exceed this target due to the timing of share repurchases, debt issuance, and acquisitions, including, for example, the Kindred at Home transaction announced on April 27, 2021.</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Operating cash flows</w:t>
      </w:r>
    </w:p>
    <w:p>
      <w:pPr>
        <w:spacing w:after="0" w:line="164" w:lineRule="exact"/>
        <w:rPr>
          <w:sz w:val="20"/>
          <w:szCs w:val="20"/>
          <w:color w:val="auto"/>
        </w:rPr>
      </w:pPr>
    </w:p>
    <w:p>
      <w:pPr>
        <w:jc w:val="both"/>
        <w:ind w:left="420" w:hanging="212"/>
        <w:spacing w:after="0" w:line="248" w:lineRule="auto"/>
        <w:tabs>
          <w:tab w:leader="none" w:pos="394" w:val="left"/>
        </w:tabs>
        <w:numPr>
          <w:ilvl w:val="0"/>
          <w:numId w:val="16"/>
        </w:numPr>
        <w:rPr>
          <w:rFonts w:ascii="Arial" w:cs="Arial" w:eastAsia="Arial" w:hAnsi="Arial"/>
          <w:sz w:val="13"/>
          <w:szCs w:val="13"/>
          <w:color w:val="auto"/>
        </w:rPr>
      </w:pPr>
      <w:r>
        <w:rPr>
          <w:rFonts w:ascii="Arial" w:cs="Arial" w:eastAsia="Arial" w:hAnsi="Arial"/>
          <w:sz w:val="13"/>
          <w:szCs w:val="13"/>
          <w:color w:val="auto"/>
        </w:rPr>
        <w:t>GAAP cash flows used in operations of $837 million in 1Q21 compared to GAAP cash flows provided by operations of $474 million in 1Q20, a decrease of $1.3 billion year over year. The decline primarily resulted from the negative impact of working capital items, partially offset by higher earnings in 1Q21 compared to 1Q20. The 1Q21 cash flows were significantly impacted by changes to working capital levels, primarily as a result of prior year disruptions caused by COVID-19. These impacts include paying down claims inventory and capitation for provider surplus amounts earned in 2020, as well as additional provider support. Other working capital items also contributed to the decline in operating cash flows in 1Q21, including typical working capital activity that tends to decrease operating cash flows in the first quarter of each year.</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Share repurchases</w:t>
      </w:r>
    </w:p>
    <w:p>
      <w:pPr>
        <w:spacing w:after="0" w:line="164" w:lineRule="exact"/>
        <w:rPr>
          <w:sz w:val="20"/>
          <w:szCs w:val="20"/>
          <w:color w:val="auto"/>
        </w:rPr>
      </w:pPr>
    </w:p>
    <w:p>
      <w:pPr>
        <w:jc w:val="both"/>
        <w:ind w:left="420" w:hanging="212"/>
        <w:spacing w:after="0" w:line="248" w:lineRule="auto"/>
        <w:tabs>
          <w:tab w:leader="none" w:pos="394"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 December 2020, the company entered into separate agreements with two third-party financial institutions to effect an aggregate $1.75 billion accelerated stock repurchase (ASR) program as part of the $3.00 billion repurchase program authorized by the Board of Directors on July 30, 2019. During the fourth quarter of 2020, under the terms of this program, the company repurchased approximately 3,829,400 shares. The actual number of shares repurchased under the December 2020 ASR agreements will be determined based on a volume-weighted average price of the company's common stock during the purchase period. Under the ASR agreements, settlement of approximately $263 million of repurchases remains pending, and the company expects final settlement in second quarter of 2021.</w:t>
      </w:r>
    </w:p>
    <w:p>
      <w:pPr>
        <w:spacing w:after="0" w:line="136" w:lineRule="exact"/>
        <w:rPr>
          <w:rFonts w:ascii="Arial" w:cs="Arial" w:eastAsia="Arial" w:hAnsi="Arial"/>
          <w:sz w:val="13"/>
          <w:szCs w:val="13"/>
          <w:color w:val="auto"/>
        </w:rPr>
      </w:pPr>
    </w:p>
    <w:p>
      <w:pPr>
        <w:ind w:left="400" w:hanging="192"/>
        <w:spacing w:after="0"/>
        <w:tabs>
          <w:tab w:leader="none" w:pos="4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company did not complete any open-market share repurchase transactions during 1Q21.</w:t>
      </w:r>
    </w:p>
    <w:p>
      <w:pPr>
        <w:spacing w:after="0" w:line="147" w:lineRule="exact"/>
        <w:rPr>
          <w:rFonts w:ascii="Arial" w:cs="Arial" w:eastAsia="Arial" w:hAnsi="Arial"/>
          <w:sz w:val="13"/>
          <w:szCs w:val="13"/>
          <w:color w:val="auto"/>
        </w:rPr>
      </w:pPr>
    </w:p>
    <w:p>
      <w:pPr>
        <w:ind w:left="420" w:right="120" w:hanging="212"/>
        <w:spacing w:after="0" w:line="258" w:lineRule="auto"/>
        <w:tabs>
          <w:tab w:leader="none" w:pos="394"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 February 2021, Humana's Board of Directors approved a $3.00 billion share repurchase authorization with an expiration date of February 18, 2024, replacing the previous $3.00 billion share repurchase authorization (of which approximately $250 million remain unused). As of April 27, 2021, the company has a remaining repurchase authorization of $3.00 billion.</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Cash dividends</w:t>
      </w:r>
    </w:p>
    <w:p>
      <w:pPr>
        <w:spacing w:after="0" w:line="164" w:lineRule="exact"/>
        <w:rPr>
          <w:sz w:val="20"/>
          <w:szCs w:val="20"/>
          <w:color w:val="auto"/>
        </w:rPr>
      </w:pPr>
    </w:p>
    <w:p>
      <w:pPr>
        <w:ind w:left="420" w:right="20" w:hanging="212"/>
        <w:spacing w:after="0" w:line="258" w:lineRule="auto"/>
        <w:tabs>
          <w:tab w:leader="none" w:pos="394"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company paid cash dividends to its stockholders of $83 million in 1Q21 versus $73 million in 1Q20. The increase reflects growth in the per share dividend amount to $0.625, as approved by the company's Board of Directors in February 2020, versus the previous per share amount of $0.55.</w:t>
      </w:r>
    </w:p>
    <w:p>
      <w:pPr>
        <w:spacing w:after="0" w:line="128" w:lineRule="exact"/>
        <w:rPr>
          <w:rFonts w:ascii="Arial" w:cs="Arial" w:eastAsia="Arial" w:hAnsi="Arial"/>
          <w:sz w:val="13"/>
          <w:szCs w:val="13"/>
          <w:color w:val="auto"/>
        </w:rPr>
      </w:pPr>
    </w:p>
    <w:p>
      <w:pPr>
        <w:ind w:left="400" w:hanging="192"/>
        <w:spacing w:after="0"/>
        <w:tabs>
          <w:tab w:leader="none" w:pos="4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 April 2021, Humana Board of Directors declared an additional cash dividend of $0.70 per share to stockholders of record on June 30, 2021. The dividend is payable on July 30, 2021.</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Humana’s Retail Segment</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3"/>
          <w:szCs w:val="13"/>
          <w:color w:val="auto"/>
        </w:rPr>
        <w:t>This segment consists of the company’s Medicare benefits, marketed to individuals directly or via group Medicare accounts, as well as its Medicare Supplement and state-based contracts businesses. State-based contracts include those with various states to provide services under the Medicaid program, including Temporary Assistance for Needy Families (TANF), dual eligible, and Long-Term Support Services benefits. In addition, this segment also includes the company’s contract with Centers for Medicare &amp; Medicaid Services (CMS) to administer the Limited Income Newly Eligible Transition prescription drug plan (PDP) program.</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0"/>
          </w:cols>
          <w:pgMar w:left="300" w:top="893" w:right="299"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color w:val="auto"/>
        </w:rPr>
        <w:t>Retail segment revenues:</w:t>
      </w:r>
    </w:p>
    <w:p>
      <w:pPr>
        <w:spacing w:after="0" w:line="164" w:lineRule="exact"/>
        <w:rPr>
          <w:sz w:val="20"/>
          <w:szCs w:val="20"/>
          <w:color w:val="auto"/>
        </w:rPr>
      </w:pPr>
    </w:p>
    <w:p>
      <w:pPr>
        <w:ind w:left="400" w:hanging="192"/>
        <w:spacing w:after="0"/>
        <w:tabs>
          <w:tab w:leader="none" w:pos="4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1Q21 revenues for the Retail segment were $18.65 billion, an increase of $1.89 billion, or 11 percent, from $16.76 billion in 1Q20 primarily reflecting the following items:</w:t>
      </w:r>
    </w:p>
    <w:p>
      <w:pPr>
        <w:spacing w:after="0" w:line="147" w:lineRule="exact"/>
        <w:rPr>
          <w:rFonts w:ascii="Arial" w:cs="Arial" w:eastAsia="Arial" w:hAnsi="Arial"/>
          <w:sz w:val="13"/>
          <w:szCs w:val="13"/>
          <w:color w:val="auto"/>
        </w:rPr>
      </w:pPr>
    </w:p>
    <w:p>
      <w:pPr>
        <w:ind w:left="860" w:hanging="220"/>
        <w:spacing w:after="0"/>
        <w:tabs>
          <w:tab w:leader="none" w:pos="860" w:val="left"/>
        </w:tabs>
        <w:numPr>
          <w:ilvl w:val="1"/>
          <w:numId w:val="19"/>
        </w:numPr>
        <w:rPr>
          <w:rFonts w:ascii="Arial" w:cs="Arial" w:eastAsia="Arial" w:hAnsi="Arial"/>
          <w:sz w:val="13"/>
          <w:szCs w:val="13"/>
          <w:color w:val="auto"/>
        </w:rPr>
      </w:pPr>
      <w:r>
        <w:rPr>
          <w:rFonts w:ascii="Arial" w:cs="Arial" w:eastAsia="Arial" w:hAnsi="Arial"/>
          <w:sz w:val="13"/>
          <w:szCs w:val="13"/>
          <w:color w:val="auto"/>
        </w:rPr>
        <w:t>individual Medicare Advantage and state-based contracts membership growth; and</w:t>
      </w:r>
    </w:p>
    <w:p>
      <w:pPr>
        <w:spacing w:after="0" w:line="147" w:lineRule="exact"/>
        <w:rPr>
          <w:rFonts w:ascii="Arial" w:cs="Arial" w:eastAsia="Arial" w:hAnsi="Arial"/>
          <w:sz w:val="13"/>
          <w:szCs w:val="13"/>
          <w:color w:val="auto"/>
        </w:rPr>
      </w:pPr>
    </w:p>
    <w:p>
      <w:pPr>
        <w:ind w:left="860" w:hanging="220"/>
        <w:spacing w:after="0" w:line="258" w:lineRule="auto"/>
        <w:tabs>
          <w:tab w:leader="none" w:pos="862" w:val="left"/>
        </w:tabs>
        <w:numPr>
          <w:ilvl w:val="1"/>
          <w:numId w:val="19"/>
        </w:numPr>
        <w:rPr>
          <w:rFonts w:ascii="Arial" w:cs="Arial" w:eastAsia="Arial" w:hAnsi="Arial"/>
          <w:sz w:val="13"/>
          <w:szCs w:val="13"/>
          <w:color w:val="auto"/>
        </w:rPr>
      </w:pPr>
      <w:r>
        <w:rPr>
          <w:rFonts w:ascii="Arial" w:cs="Arial" w:eastAsia="Arial" w:hAnsi="Arial"/>
          <w:sz w:val="13"/>
          <w:szCs w:val="13"/>
          <w:color w:val="auto"/>
        </w:rPr>
        <w:t>higher per member individual Medicare Advantage premiums as a result of the improving CMS benchmark rate for 2021 and the impact of Medicare sequestration relief in 1Q21 that was not enacted until the second quarter of 2020, partially offset by MRA headwinds resulting from COVID-19 related utilization disruption in 2020.</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These favorable items were partially offset by the decline in membership in the company's stand-alone PDP and group Medicare Advantage offerings.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Retail segment enrollment:</w:t>
      </w:r>
    </w:p>
    <w:p>
      <w:pPr>
        <w:spacing w:after="0" w:line="148" w:lineRule="exact"/>
        <w:rPr>
          <w:sz w:val="20"/>
          <w:szCs w:val="20"/>
          <w:color w:val="auto"/>
        </w:rPr>
      </w:pPr>
    </w:p>
    <w:p>
      <w:pPr>
        <w:jc w:val="both"/>
        <w:ind w:left="420" w:hanging="212"/>
        <w:spacing w:after="0" w:line="255" w:lineRule="auto"/>
        <w:tabs>
          <w:tab w:leader="none" w:pos="394" w:val="left"/>
        </w:tabs>
        <w:numPr>
          <w:ilvl w:val="0"/>
          <w:numId w:val="2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Individual Medicare Advantage </w:t>
      </w:r>
      <w:r>
        <w:rPr>
          <w:rFonts w:ascii="Arial" w:cs="Arial" w:eastAsia="Arial" w:hAnsi="Arial"/>
          <w:sz w:val="13"/>
          <w:szCs w:val="13"/>
          <w:color w:val="auto"/>
        </w:rPr>
        <w:t>membership was 4,291,300 as of March 31, 2021, a net increase of 453,200 or 12 percent, from 3,838,100 as of March 31, 2020, and up 328,600, or 8</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percent, from 3,962,700 as of December 31, 2020. The year-over-year and sequential increases were primarily due to membership additions associated with the most recent Annual Election Period (AEP) and Open Election Period (OEP) for Medicare beneficiaries, as well as the impact of Dual Eligible Special Need Plans (D-SNP) membership added as a result of the recently completed Independent Care Health Plan (iCare) acquisition. The year-over-year growth was further impacted by continued enrollment resulting from special elections, age-ins, and D-SNP members following the 2020 OEP.</w:t>
      </w:r>
    </w:p>
    <w:p>
      <w:pPr>
        <w:spacing w:after="0" w:line="131" w:lineRule="exact"/>
        <w:rPr>
          <w:sz w:val="20"/>
          <w:szCs w:val="20"/>
          <w:color w:val="auto"/>
        </w:rPr>
      </w:pPr>
    </w:p>
    <w:p>
      <w:pPr>
        <w:jc w:val="both"/>
        <w:ind w:left="420" w:right="20"/>
        <w:spacing w:after="0" w:line="251" w:lineRule="auto"/>
        <w:rPr>
          <w:sz w:val="20"/>
          <w:szCs w:val="20"/>
          <w:color w:val="auto"/>
        </w:rPr>
      </w:pPr>
      <w:r>
        <w:rPr>
          <w:rFonts w:ascii="Arial" w:cs="Arial" w:eastAsia="Arial" w:hAnsi="Arial"/>
          <w:sz w:val="13"/>
          <w:szCs w:val="13"/>
          <w:color w:val="auto"/>
        </w:rPr>
        <w:t>The 2021 OEP sales period, which ran from January 1 to March 31, 2021, added approximately 21,000 members through March 31, 2021. An additional 15,000 members became effective April 1, 2021 (not included in the March 31, 2021 membership detailed above), for a total 2021 OEP impact of 36,000 members. In comparison, the 2020 OEP added approximately 30,000 members.</w:t>
      </w:r>
    </w:p>
    <w:p>
      <w:pPr>
        <w:spacing w:after="0" w:line="134" w:lineRule="exact"/>
        <w:rPr>
          <w:sz w:val="20"/>
          <w:szCs w:val="20"/>
          <w:color w:val="auto"/>
        </w:rPr>
      </w:pPr>
    </w:p>
    <w:p>
      <w:pPr>
        <w:jc w:val="both"/>
        <w:ind w:left="420"/>
        <w:spacing w:after="0" w:line="258" w:lineRule="auto"/>
        <w:rPr>
          <w:sz w:val="20"/>
          <w:szCs w:val="20"/>
          <w:color w:val="auto"/>
        </w:rPr>
      </w:pPr>
      <w:r>
        <w:rPr>
          <w:rFonts w:ascii="Arial" w:cs="Arial" w:eastAsia="Arial" w:hAnsi="Arial"/>
          <w:sz w:val="13"/>
          <w:szCs w:val="13"/>
          <w:color w:val="auto"/>
        </w:rPr>
        <w:t>Individual Medicare Advantage membership includes 501,100 D-SNP members as of March 31, 2021, a net increase of 158,600, or 46 percent, from 342,500 as of March 31, 2020, and up 95,000, or 23 percent, from 406,100 as of December 31, 2020.</w:t>
      </w:r>
    </w:p>
    <w:p>
      <w:pPr>
        <w:spacing w:after="0" w:line="113" w:lineRule="exact"/>
        <w:rPr>
          <w:sz w:val="20"/>
          <w:szCs w:val="20"/>
          <w:color w:val="auto"/>
        </w:rPr>
      </w:pPr>
    </w:p>
    <w:p>
      <w:pPr>
        <w:jc w:val="both"/>
        <w:ind w:left="420" w:hanging="212"/>
        <w:spacing w:after="0" w:line="264" w:lineRule="auto"/>
        <w:tabs>
          <w:tab w:leader="none" w:pos="394" w:val="left"/>
        </w:tabs>
        <w:numPr>
          <w:ilvl w:val="0"/>
          <w:numId w:val="21"/>
        </w:numPr>
        <w:rPr>
          <w:rFonts w:ascii="Arial" w:cs="Arial" w:eastAsia="Arial" w:hAnsi="Arial"/>
          <w:sz w:val="13"/>
          <w:szCs w:val="13"/>
          <w:color w:val="auto"/>
        </w:rPr>
      </w:pPr>
      <w:r>
        <w:rPr>
          <w:rFonts w:ascii="Arial" w:cs="Arial" w:eastAsia="Arial" w:hAnsi="Arial"/>
          <w:sz w:val="13"/>
          <w:szCs w:val="13"/>
          <w:b w:val="1"/>
          <w:bCs w:val="1"/>
          <w:i w:val="1"/>
          <w:iCs w:val="1"/>
          <w:color w:val="auto"/>
        </w:rPr>
        <w:t>Group Medicare Advantag</w:t>
      </w:r>
      <w:r>
        <w:rPr>
          <w:rFonts w:ascii="Arial" w:cs="Arial" w:eastAsia="Arial" w:hAnsi="Arial"/>
          <w:sz w:val="13"/>
          <w:szCs w:val="13"/>
          <w:b w:val="1"/>
          <w:bCs w:val="1"/>
          <w:color w:val="auto"/>
        </w:rPr>
        <w:t>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membership was 556,700 as of March 31, 2021, a net decrease of 50,700, or 8 percent, from 607,400 at March 31, 2020, and down 56,500, or 9.2 percent,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613,200 as of December 31, 2020. These anticipated decreases reflect the net loss of certain large accounts in January 2021, partially offset by continued growth in small group accounts.</w:t>
      </w:r>
    </w:p>
    <w:p>
      <w:pPr>
        <w:spacing w:after="0" w:line="109" w:lineRule="exact"/>
        <w:rPr>
          <w:rFonts w:ascii="Arial" w:cs="Arial" w:eastAsia="Arial" w:hAnsi="Arial"/>
          <w:sz w:val="13"/>
          <w:szCs w:val="13"/>
          <w:color w:val="auto"/>
        </w:rPr>
      </w:pPr>
    </w:p>
    <w:p>
      <w:pPr>
        <w:jc w:val="both"/>
        <w:ind w:left="420" w:hanging="212"/>
        <w:spacing w:after="0" w:line="273" w:lineRule="auto"/>
        <w:tabs>
          <w:tab w:leader="none" w:pos="394"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Membership in the company’s </w:t>
      </w:r>
      <w:r>
        <w:rPr>
          <w:rFonts w:ascii="Arial" w:cs="Arial" w:eastAsia="Arial" w:hAnsi="Arial"/>
          <w:sz w:val="13"/>
          <w:szCs w:val="13"/>
          <w:b w:val="1"/>
          <w:bCs w:val="1"/>
          <w:i w:val="1"/>
          <w:iCs w:val="1"/>
          <w:color w:val="auto"/>
        </w:rPr>
        <w:t>stand-alone PDP</w:t>
      </w:r>
      <w:r>
        <w:rPr>
          <w:rFonts w:ascii="Arial" w:cs="Arial" w:eastAsia="Arial" w:hAnsi="Arial"/>
          <w:sz w:val="13"/>
          <w:szCs w:val="13"/>
          <w:color w:val="auto"/>
        </w:rPr>
        <w:t xml:space="preserve"> offerings was 3,666,200 as of March 31, 2021, a net decrease of 228,900, or 6 percent, from 3,895,100 as of March 31, 2020, and down 200,500, or 5 percent, from 3,866,700 as of December 31, 2020. These anticipated declines were primarily the result of the Walmart Value plan no longer being the low cost leader in 2021.</w:t>
      </w:r>
    </w:p>
    <w:p>
      <w:pPr>
        <w:spacing w:after="0" w:line="262" w:lineRule="exact"/>
        <w:rPr>
          <w:rFonts w:ascii="Arial" w:cs="Arial" w:eastAsia="Arial" w:hAnsi="Arial"/>
          <w:sz w:val="13"/>
          <w:szCs w:val="13"/>
          <w:color w:val="auto"/>
        </w:rPr>
      </w:pPr>
    </w:p>
    <w:p>
      <w:pPr>
        <w:jc w:val="both"/>
        <w:ind w:left="420" w:hanging="212"/>
        <w:spacing w:after="0" w:line="264" w:lineRule="auto"/>
        <w:tabs>
          <w:tab w:leader="none" w:pos="394" w:val="left"/>
        </w:tabs>
        <w:numPr>
          <w:ilvl w:val="0"/>
          <w:numId w:val="21"/>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State-based contracts </w:t>
      </w:r>
      <w:r>
        <w:rPr>
          <w:rFonts w:ascii="Arial" w:cs="Arial" w:eastAsia="Arial" w:hAnsi="Arial"/>
          <w:sz w:val="13"/>
          <w:szCs w:val="13"/>
          <w:color w:val="auto"/>
        </w:rPr>
        <w:t>membership (including dual-eligible demonstration members) was 838,900 as of March 31, 2021, a net increase of 221,600, or 36 percent, from 617,300 at March</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31, 2020 and up 66,500, or 9 percent, from 772,400 at December 31, 2020. These increases primarily reflect the additional enrollment resulting from the current economic downturn due to the COVID-19 pandemic, as well as the recently completed iCare acquisition in Wisconsin.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913" w:right="299" w:bottom="1440" w:gutter="0" w:footer="0" w:header="0"/>
        </w:sectPr>
      </w:pPr>
    </w:p>
    <w:bookmarkStart w:id="19" w:name="page20"/>
    <w:bookmarkEnd w:id="19"/>
    <w:p>
      <w:pPr>
        <w:spacing w:after="0"/>
        <w:rPr>
          <w:sz w:val="20"/>
          <w:szCs w:val="20"/>
          <w:color w:val="auto"/>
        </w:rPr>
      </w:pPr>
      <w:r>
        <w:rPr>
          <w:rFonts w:ascii="Arial" w:cs="Arial" w:eastAsia="Arial" w:hAnsi="Arial"/>
          <w:sz w:val="13"/>
          <w:szCs w:val="13"/>
          <w:b w:val="1"/>
          <w:bCs w:val="1"/>
          <w:color w:val="auto"/>
        </w:rPr>
        <w:t>Retail segment benefits expense:</w:t>
      </w:r>
    </w:p>
    <w:p>
      <w:pPr>
        <w:spacing w:after="0" w:line="164" w:lineRule="exact"/>
        <w:rPr>
          <w:sz w:val="20"/>
          <w:szCs w:val="20"/>
          <w:color w:val="auto"/>
        </w:rPr>
      </w:pPr>
    </w:p>
    <w:p>
      <w:pPr>
        <w:ind w:left="420" w:right="360" w:hanging="212"/>
        <w:spacing w:after="0" w:line="258" w:lineRule="auto"/>
        <w:tabs>
          <w:tab w:leader="none" w:pos="394" w:val="left"/>
        </w:tabs>
        <w:numPr>
          <w:ilvl w:val="0"/>
          <w:numId w:val="22"/>
        </w:numPr>
        <w:rPr>
          <w:rFonts w:ascii="Arial" w:cs="Arial" w:eastAsia="Arial" w:hAnsi="Arial"/>
          <w:sz w:val="13"/>
          <w:szCs w:val="13"/>
          <w:b w:val="1"/>
          <w:bCs w:val="1"/>
          <w:color w:val="auto"/>
        </w:rPr>
      </w:pPr>
      <w:r>
        <w:rPr>
          <w:rFonts w:ascii="Arial" w:cs="Arial" w:eastAsia="Arial" w:hAnsi="Arial"/>
          <w:sz w:val="13"/>
          <w:szCs w:val="13"/>
          <w:color w:val="auto"/>
        </w:rPr>
        <w:t>The 1Q21 benefit ratio for the Retail segment was 87.7 percent, an increase of 110 basis points from 86.6 percent for 1Q20. The year-over-year increase in the segment benefit ratio primarily reflects the following items:</w:t>
      </w:r>
    </w:p>
    <w:p>
      <w:pPr>
        <w:spacing w:after="0" w:line="128" w:lineRule="exact"/>
        <w:rPr>
          <w:rFonts w:ascii="Arial" w:cs="Arial" w:eastAsia="Arial" w:hAnsi="Arial"/>
          <w:sz w:val="13"/>
          <w:szCs w:val="13"/>
          <w:b w:val="1"/>
          <w:bCs w:val="1"/>
          <w:color w:val="auto"/>
        </w:rPr>
      </w:pPr>
    </w:p>
    <w:p>
      <w:pPr>
        <w:ind w:left="860" w:right="480" w:hanging="220"/>
        <w:spacing w:after="0" w:line="258" w:lineRule="auto"/>
        <w:tabs>
          <w:tab w:leader="none" w:pos="862" w:val="left"/>
        </w:tabs>
        <w:numPr>
          <w:ilvl w:val="1"/>
          <w:numId w:val="22"/>
        </w:numPr>
        <w:rPr>
          <w:rFonts w:ascii="Arial" w:cs="Arial" w:eastAsia="Arial" w:hAnsi="Arial"/>
          <w:sz w:val="13"/>
          <w:szCs w:val="13"/>
          <w:color w:val="auto"/>
        </w:rPr>
      </w:pPr>
      <w:r>
        <w:rPr>
          <w:rFonts w:ascii="Arial" w:cs="Arial" w:eastAsia="Arial" w:hAnsi="Arial"/>
          <w:sz w:val="13"/>
          <w:szCs w:val="13"/>
          <w:color w:val="auto"/>
        </w:rPr>
        <w:t>the termination in 2021 of the non-deductible HIF which, along with a portion of the related tax benefit, was contemplated in the pricing and benefit design of the company's products; and</w:t>
      </w:r>
    </w:p>
    <w:p>
      <w:pPr>
        <w:spacing w:after="0" w:line="128" w:lineRule="exact"/>
        <w:rPr>
          <w:rFonts w:ascii="Arial" w:cs="Arial" w:eastAsia="Arial" w:hAnsi="Arial"/>
          <w:sz w:val="13"/>
          <w:szCs w:val="13"/>
          <w:color w:val="auto"/>
        </w:rPr>
      </w:pPr>
    </w:p>
    <w:p>
      <w:pPr>
        <w:ind w:left="860" w:right="20" w:hanging="220"/>
        <w:spacing w:after="0" w:line="258" w:lineRule="auto"/>
        <w:tabs>
          <w:tab w:leader="none" w:pos="862" w:val="left"/>
        </w:tabs>
        <w:numPr>
          <w:ilvl w:val="1"/>
          <w:numId w:val="22"/>
        </w:numPr>
        <w:rPr>
          <w:rFonts w:ascii="Arial" w:cs="Arial" w:eastAsia="Arial" w:hAnsi="Arial"/>
          <w:sz w:val="13"/>
          <w:szCs w:val="13"/>
          <w:color w:val="auto"/>
        </w:rPr>
      </w:pPr>
      <w:r>
        <w:rPr>
          <w:rFonts w:ascii="Arial" w:cs="Arial" w:eastAsia="Arial" w:hAnsi="Arial"/>
          <w:sz w:val="13"/>
          <w:szCs w:val="13"/>
          <w:color w:val="auto"/>
        </w:rPr>
        <w:t>the impact in 1Q21 associated with the competitive nature of the group Medicare Advantage business, particularly in large group accounts that were recently procured, as well as in the stand-alone PDP business.</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These factors were partially offset by higher favorable Prior Period Development in 1Q21 as further described below.</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Prior Period Development</w:t>
      </w:r>
    </w:p>
    <w:p>
      <w:pPr>
        <w:spacing w:after="0" w:line="164" w:lineRule="exact"/>
        <w:rPr>
          <w:sz w:val="20"/>
          <w:szCs w:val="20"/>
          <w:color w:val="auto"/>
        </w:rPr>
      </w:pPr>
    </w:p>
    <w:p>
      <w:pPr>
        <w:jc w:val="both"/>
        <w:ind w:left="420" w:right="20"/>
        <w:spacing w:after="0" w:line="251" w:lineRule="auto"/>
        <w:rPr>
          <w:sz w:val="20"/>
          <w:szCs w:val="20"/>
          <w:color w:val="auto"/>
        </w:rPr>
      </w:pPr>
      <w:r>
        <w:rPr>
          <w:rFonts w:ascii="Arial" w:cs="Arial" w:eastAsia="Arial" w:hAnsi="Arial"/>
          <w:sz w:val="13"/>
          <w:szCs w:val="13"/>
          <w:color w:val="auto"/>
        </w:rPr>
        <w:t>As anticipated, Humana experienced a higher level of favorable Prior Period Development in 1Q21 as a result of the reversal of actions taken in 2020, including the suspension of certain financial recovery programs for a period of time. The suspension during 2020 was intended to provide financial and administrative relief for providers facing unprecedented strain as a result of the COVID-19 pandemic.</w:t>
      </w:r>
    </w:p>
    <w:p>
      <w:pPr>
        <w:spacing w:after="0" w:line="134" w:lineRule="exact"/>
        <w:rPr>
          <w:sz w:val="20"/>
          <w:szCs w:val="20"/>
          <w:color w:val="auto"/>
        </w:rPr>
      </w:pPr>
    </w:p>
    <w:p>
      <w:pPr>
        <w:jc w:val="both"/>
        <w:ind w:left="420"/>
        <w:spacing w:after="0" w:line="258" w:lineRule="auto"/>
        <w:rPr>
          <w:sz w:val="20"/>
          <w:szCs w:val="20"/>
          <w:color w:val="auto"/>
        </w:rPr>
      </w:pPr>
      <w:r>
        <w:rPr>
          <w:rFonts w:ascii="Arial" w:cs="Arial" w:eastAsia="Arial" w:hAnsi="Arial"/>
          <w:sz w:val="13"/>
          <w:szCs w:val="13"/>
          <w:color w:val="auto"/>
        </w:rPr>
        <w:t>The Retail segment's favorable Prior Period Development of $ 463 million in 1Q21 decreased the segment benefit ratio by 250 basis points in 1Q21. In 1Q20, the segment's favorable Prior Period Development of $238 million decreased the benefit ratio by 140 basis points.</w:t>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Retail segment operating costs:</w:t>
      </w:r>
    </w:p>
    <w:p>
      <w:pPr>
        <w:spacing w:after="0" w:line="164" w:lineRule="exact"/>
        <w:rPr>
          <w:sz w:val="20"/>
          <w:szCs w:val="20"/>
          <w:color w:val="auto"/>
        </w:rPr>
      </w:pPr>
    </w:p>
    <w:p>
      <w:pPr>
        <w:ind w:left="420" w:hanging="212"/>
        <w:spacing w:after="0" w:line="258" w:lineRule="auto"/>
        <w:tabs>
          <w:tab w:leader="none" w:pos="394"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Retail segment’s operating cost ratio of 7.8 percent in 1Q21 decreased 140 basis points from 9.2 percent in 1Q20. The year-over-year comparison was positively impacted by the following factors:</w:t>
      </w:r>
    </w:p>
    <w:p>
      <w:pPr>
        <w:spacing w:after="0" w:line="128" w:lineRule="exact"/>
        <w:rPr>
          <w:rFonts w:ascii="Arial" w:cs="Arial" w:eastAsia="Arial" w:hAnsi="Arial"/>
          <w:sz w:val="13"/>
          <w:szCs w:val="13"/>
          <w:color w:val="auto"/>
        </w:rPr>
      </w:pPr>
    </w:p>
    <w:p>
      <w:pPr>
        <w:ind w:left="640" w:hanging="216"/>
        <w:spacing w:after="0"/>
        <w:tabs>
          <w:tab w:leader="none" w:pos="640" w:val="left"/>
        </w:tabs>
        <w:numPr>
          <w:ilvl w:val="1"/>
          <w:numId w:val="23"/>
        </w:numPr>
        <w:rPr>
          <w:rFonts w:ascii="Arial" w:cs="Arial" w:eastAsia="Arial" w:hAnsi="Arial"/>
          <w:sz w:val="13"/>
          <w:szCs w:val="13"/>
          <w:color w:val="auto"/>
        </w:rPr>
      </w:pPr>
      <w:r>
        <w:rPr>
          <w:rFonts w:ascii="Arial" w:cs="Arial" w:eastAsia="Arial" w:hAnsi="Arial"/>
          <w:sz w:val="13"/>
          <w:szCs w:val="13"/>
          <w:color w:val="auto"/>
        </w:rPr>
        <w:t>termination of the non-deductible HIF in 2021, which increased the Retail segment GAAP operating cost ratio by approximately 170 basis points in 1Q20,</w:t>
      </w:r>
    </w:p>
    <w:p>
      <w:pPr>
        <w:spacing w:after="0" w:line="147" w:lineRule="exact"/>
        <w:rPr>
          <w:rFonts w:ascii="Arial" w:cs="Arial" w:eastAsia="Arial" w:hAnsi="Arial"/>
          <w:sz w:val="13"/>
          <w:szCs w:val="13"/>
          <w:color w:val="auto"/>
        </w:rPr>
      </w:pPr>
    </w:p>
    <w:p>
      <w:pPr>
        <w:ind w:left="640" w:hanging="216"/>
        <w:spacing w:after="0"/>
        <w:tabs>
          <w:tab w:leader="none" w:pos="640" w:val="left"/>
        </w:tabs>
        <w:numPr>
          <w:ilvl w:val="1"/>
          <w:numId w:val="23"/>
        </w:numPr>
        <w:rPr>
          <w:rFonts w:ascii="Arial" w:cs="Arial" w:eastAsia="Arial" w:hAnsi="Arial"/>
          <w:sz w:val="13"/>
          <w:szCs w:val="13"/>
          <w:color w:val="auto"/>
        </w:rPr>
      </w:pPr>
      <w:r>
        <w:rPr>
          <w:rFonts w:ascii="Arial" w:cs="Arial" w:eastAsia="Arial" w:hAnsi="Arial"/>
          <w:sz w:val="13"/>
          <w:szCs w:val="13"/>
          <w:color w:val="auto"/>
        </w:rPr>
        <w:t>scale efficiencies associated with growth in the company's individual Medicare Advantage membership, and</w:t>
      </w:r>
    </w:p>
    <w:p>
      <w:pPr>
        <w:spacing w:after="0" w:line="147" w:lineRule="exact"/>
        <w:rPr>
          <w:rFonts w:ascii="Arial" w:cs="Arial" w:eastAsia="Arial" w:hAnsi="Arial"/>
          <w:sz w:val="13"/>
          <w:szCs w:val="13"/>
          <w:color w:val="auto"/>
        </w:rPr>
      </w:pPr>
    </w:p>
    <w:p>
      <w:pPr>
        <w:ind w:left="640" w:hanging="216"/>
        <w:spacing w:after="0"/>
        <w:tabs>
          <w:tab w:leader="none" w:pos="640" w:val="left"/>
        </w:tabs>
        <w:numPr>
          <w:ilvl w:val="1"/>
          <w:numId w:val="23"/>
        </w:numPr>
        <w:rPr>
          <w:rFonts w:ascii="Arial" w:cs="Arial" w:eastAsia="Arial" w:hAnsi="Arial"/>
          <w:sz w:val="13"/>
          <w:szCs w:val="13"/>
          <w:color w:val="auto"/>
        </w:rPr>
      </w:pPr>
      <w:r>
        <w:rPr>
          <w:rFonts w:ascii="Arial" w:cs="Arial" w:eastAsia="Arial" w:hAnsi="Arial"/>
          <w:sz w:val="13"/>
          <w:szCs w:val="13"/>
          <w:color w:val="auto"/>
        </w:rPr>
        <w:t>operating cost efficiencies in 1Q21 driven by previously implemented productivity initiatives.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These improvements were partially offset by continued strategic investments made to position the company for long-term success.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Retail segment results:</w:t>
      </w:r>
    </w:p>
    <w:p>
      <w:pPr>
        <w:spacing w:after="0" w:line="164" w:lineRule="exact"/>
        <w:rPr>
          <w:sz w:val="20"/>
          <w:szCs w:val="20"/>
          <w:color w:val="auto"/>
        </w:rPr>
      </w:pPr>
    </w:p>
    <w:tbl>
      <w:tblPr>
        <w:tblLayout w:type="fixed"/>
        <w:tblInd w:w="1390" w:type="dxa"/>
        <w:tblCellMar>
          <w:top w:w="0" w:type="dxa"/>
          <w:left w:w="0" w:type="dxa"/>
          <w:bottom w:w="0" w:type="dxa"/>
          <w:right w:w="0" w:type="dxa"/>
        </w:tblCellMar>
      </w:tblPr>
      <w:tr>
        <w:trPr>
          <w:trHeight w:val="108"/>
        </w:trPr>
        <w:tc>
          <w:tcPr>
            <w:tcW w:w="5780" w:type="dxa"/>
            <w:vAlign w:val="bottom"/>
            <w:tcBorders>
              <w:top w:val="single" w:sz="8" w:color="auto"/>
              <w:left w:val="single" w:sz="8" w:color="auto"/>
              <w:right w:val="single" w:sz="8" w:color="auto"/>
            </w:tcBorders>
          </w:tcPr>
          <w:p>
            <w:pPr>
              <w:ind w:left="20"/>
              <w:spacing w:after="0" w:line="108" w:lineRule="exact"/>
              <w:rPr>
                <w:sz w:val="20"/>
                <w:szCs w:val="20"/>
                <w:color w:val="auto"/>
              </w:rPr>
            </w:pPr>
            <w:r>
              <w:rPr>
                <w:rFonts w:ascii="Arial" w:cs="Arial" w:eastAsia="Arial" w:hAnsi="Arial"/>
                <w:sz w:val="10"/>
                <w:szCs w:val="10"/>
                <w:b w:val="1"/>
                <w:bCs w:val="1"/>
                <w:color w:val="auto"/>
              </w:rPr>
              <w:t>Retail segment earnings</w:t>
            </w:r>
          </w:p>
        </w:tc>
        <w:tc>
          <w:tcPr>
            <w:tcW w:w="1380" w:type="dxa"/>
            <w:vAlign w:val="bottom"/>
            <w:tcBorders>
              <w:top w:val="single" w:sz="8" w:color="auto"/>
              <w:right w:val="single" w:sz="8" w:color="auto"/>
            </w:tcBorders>
            <w:shd w:val="clear" w:color="auto" w:fill="EAEAEA"/>
          </w:tcPr>
          <w:p>
            <w:pPr>
              <w:spacing w:after="0"/>
              <w:rPr>
                <w:sz w:val="9"/>
                <w:szCs w:val="9"/>
                <w:color w:val="auto"/>
              </w:rPr>
            </w:pPr>
          </w:p>
        </w:tc>
        <w:tc>
          <w:tcPr>
            <w:tcW w:w="1380" w:type="dxa"/>
            <w:vAlign w:val="bottom"/>
            <w:tcBorders>
              <w:top w:val="single" w:sz="8" w:color="auto"/>
              <w:right w:val="single" w:sz="8" w:color="auto"/>
            </w:tcBorders>
          </w:tcPr>
          <w:p>
            <w:pPr>
              <w:spacing w:after="0"/>
              <w:rPr>
                <w:sz w:val="9"/>
                <w:szCs w:val="9"/>
                <w:color w:val="auto"/>
              </w:rPr>
            </w:pPr>
          </w:p>
        </w:tc>
      </w:tr>
      <w:tr>
        <w:trPr>
          <w:trHeight w:val="135"/>
        </w:trPr>
        <w:tc>
          <w:tcPr>
            <w:tcW w:w="5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1380" w:type="dxa"/>
            <w:vAlign w:val="bottom"/>
            <w:tcBorders>
              <w:bottom w:val="single" w:sz="8" w:color="auto"/>
              <w:right w:val="single" w:sz="8" w:color="auto"/>
            </w:tcBorders>
            <w:shd w:val="clear" w:color="auto" w:fill="EAEAEA"/>
          </w:tcPr>
          <w:p>
            <w:pPr>
              <w:jc w:val="right"/>
              <w:ind w:right="468"/>
              <w:spacing w:after="0"/>
              <w:rPr>
                <w:sz w:val="20"/>
                <w:szCs w:val="20"/>
                <w:color w:val="auto"/>
              </w:rPr>
            </w:pPr>
            <w:r>
              <w:rPr>
                <w:rFonts w:ascii="Arial" w:cs="Arial" w:eastAsia="Arial" w:hAnsi="Arial"/>
                <w:sz w:val="10"/>
                <w:szCs w:val="10"/>
                <w:b w:val="1"/>
                <w:bCs w:val="1"/>
                <w:color w:val="auto"/>
              </w:rPr>
              <w:t>1Q21 (a)</w:t>
            </w:r>
          </w:p>
        </w:tc>
        <w:tc>
          <w:tcPr>
            <w:tcW w:w="1380" w:type="dxa"/>
            <w:vAlign w:val="bottom"/>
            <w:tcBorders>
              <w:bottom w:val="single" w:sz="8" w:color="auto"/>
              <w:right w:val="single" w:sz="8" w:color="auto"/>
            </w:tcBorders>
          </w:tcPr>
          <w:p>
            <w:pPr>
              <w:jc w:val="right"/>
              <w:ind w:right="448"/>
              <w:spacing w:after="0"/>
              <w:rPr>
                <w:sz w:val="20"/>
                <w:szCs w:val="20"/>
                <w:color w:val="auto"/>
              </w:rPr>
            </w:pPr>
            <w:r>
              <w:rPr>
                <w:rFonts w:ascii="Arial" w:cs="Arial" w:eastAsia="Arial" w:hAnsi="Arial"/>
                <w:sz w:val="10"/>
                <w:szCs w:val="10"/>
                <w:color w:val="auto"/>
              </w:rPr>
              <w:t>1Q20 (b)</w:t>
            </w:r>
          </w:p>
        </w:tc>
      </w:tr>
      <w:tr>
        <w:trPr>
          <w:trHeight w:val="132"/>
        </w:trPr>
        <w:tc>
          <w:tcPr>
            <w:tcW w:w="5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380" w:type="dxa"/>
            <w:vAlign w:val="bottom"/>
            <w:tcBorders>
              <w:bottom w:val="single" w:sz="8" w:color="auto"/>
              <w:right w:val="single" w:sz="8" w:color="auto"/>
            </w:tcBorders>
            <w:shd w:val="clear" w:color="auto" w:fill="EAEAEA"/>
          </w:tcPr>
          <w:p>
            <w:pPr>
              <w:jc w:val="right"/>
              <w:ind w:right="8"/>
              <w:spacing w:after="0"/>
              <w:rPr>
                <w:sz w:val="20"/>
                <w:szCs w:val="20"/>
                <w:color w:val="auto"/>
              </w:rPr>
            </w:pPr>
            <w:r>
              <w:rPr>
                <w:rFonts w:ascii="Arial" w:cs="Arial" w:eastAsia="Arial" w:hAnsi="Arial"/>
                <w:sz w:val="11"/>
                <w:szCs w:val="11"/>
                <w:b w:val="1"/>
                <w:bCs w:val="1"/>
                <w:color w:val="auto"/>
              </w:rPr>
              <w:t>$794</w:t>
            </w:r>
          </w:p>
        </w:tc>
        <w:tc>
          <w:tcPr>
            <w:tcW w:w="13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1"/>
                <w:szCs w:val="11"/>
                <w:color w:val="auto"/>
              </w:rPr>
              <w:t>$685</w:t>
            </w:r>
          </w:p>
        </w:tc>
      </w:tr>
      <w:tr>
        <w:trPr>
          <w:trHeight w:val="133"/>
        </w:trPr>
        <w:tc>
          <w:tcPr>
            <w:tcW w:w="5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associated with identifiable intangibles</w:t>
            </w:r>
          </w:p>
        </w:tc>
        <w:tc>
          <w:tcPr>
            <w:tcW w:w="1380" w:type="dxa"/>
            <w:vAlign w:val="bottom"/>
            <w:tcBorders>
              <w:bottom w:val="single" w:sz="8" w:color="auto"/>
              <w:right w:val="single" w:sz="8" w:color="auto"/>
            </w:tcBorders>
            <w:shd w:val="clear" w:color="auto" w:fill="EAEAEA"/>
          </w:tcPr>
          <w:p>
            <w:pPr>
              <w:jc w:val="right"/>
              <w:ind w:right="8"/>
              <w:spacing w:after="0"/>
              <w:rPr>
                <w:sz w:val="20"/>
                <w:szCs w:val="20"/>
                <w:color w:val="auto"/>
              </w:rPr>
            </w:pPr>
            <w:r>
              <w:rPr>
                <w:rFonts w:ascii="Arial" w:cs="Arial" w:eastAsia="Arial" w:hAnsi="Arial"/>
                <w:sz w:val="11"/>
                <w:szCs w:val="11"/>
                <w:b w:val="1"/>
                <w:bCs w:val="1"/>
                <w:color w:val="auto"/>
              </w:rPr>
              <w:t>4</w:t>
            </w:r>
          </w:p>
        </w:tc>
        <w:tc>
          <w:tcPr>
            <w:tcW w:w="13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1"/>
                <w:szCs w:val="11"/>
                <w:color w:val="auto"/>
              </w:rPr>
              <w:t>4</w:t>
            </w:r>
          </w:p>
        </w:tc>
      </w:tr>
      <w:tr>
        <w:trPr>
          <w:trHeight w:val="133"/>
        </w:trPr>
        <w:tc>
          <w:tcPr>
            <w:tcW w:w="57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w:t>
            </w:r>
          </w:p>
        </w:tc>
        <w:tc>
          <w:tcPr>
            <w:tcW w:w="1380" w:type="dxa"/>
            <w:vAlign w:val="bottom"/>
            <w:tcBorders>
              <w:bottom w:val="single" w:sz="8" w:color="auto"/>
              <w:right w:val="single" w:sz="8" w:color="auto"/>
            </w:tcBorders>
            <w:shd w:val="clear" w:color="auto" w:fill="EAEAEA"/>
          </w:tcPr>
          <w:p>
            <w:pPr>
              <w:jc w:val="right"/>
              <w:ind w:right="8"/>
              <w:spacing w:after="0"/>
              <w:rPr>
                <w:sz w:val="20"/>
                <w:szCs w:val="20"/>
                <w:color w:val="auto"/>
              </w:rPr>
            </w:pPr>
            <w:r>
              <w:rPr>
                <w:rFonts w:ascii="Arial" w:cs="Arial" w:eastAsia="Arial" w:hAnsi="Arial"/>
                <w:sz w:val="11"/>
                <w:szCs w:val="11"/>
                <w:b w:val="1"/>
                <w:bCs w:val="1"/>
                <w:color w:val="auto"/>
              </w:rPr>
              <w:t>$798</w:t>
            </w:r>
          </w:p>
        </w:tc>
        <w:tc>
          <w:tcPr>
            <w:tcW w:w="138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1"/>
                <w:szCs w:val="11"/>
                <w:color w:val="auto"/>
              </w:rPr>
              <w:t>$689</w:t>
            </w:r>
          </w:p>
        </w:tc>
      </w:tr>
    </w:tbl>
    <w:p>
      <w:pPr>
        <w:spacing w:after="0" w:line="133" w:lineRule="exact"/>
        <w:rPr>
          <w:sz w:val="20"/>
          <w:szCs w:val="20"/>
          <w:color w:val="auto"/>
        </w:rPr>
      </w:pPr>
    </w:p>
    <w:p>
      <w:pPr>
        <w:ind w:left="420" w:right="120" w:hanging="212"/>
        <w:spacing w:after="0" w:line="258" w:lineRule="auto"/>
        <w:tabs>
          <w:tab w:leader="none" w:pos="394"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year-over-year favorable quarter comparison of GAAP segment results was impacted by the same factors that led to the segment's lower operating cost ratio in 1Q21, partially offset by the higher benefit ratio.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913" w:right="29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auto"/>
        </w:rPr>
        <w:t>Humana’s Group and Specialty Segment</w:t>
      </w:r>
    </w:p>
    <w:p>
      <w:pPr>
        <w:spacing w:after="0" w:line="163"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This segment consists of the company’s employer group fully-insured commercial medical products and specialty insurance benefits marketed to individuals and groups, including dental, vision, and life insurance benefits. In addition, the segment also includes the company’s administrative services only (ASO) products and its military services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and Specialty segment revenues:</w:t>
      </w:r>
    </w:p>
    <w:p>
      <w:pPr>
        <w:spacing w:after="0" w:line="164" w:lineRule="exact"/>
        <w:rPr>
          <w:sz w:val="20"/>
          <w:szCs w:val="20"/>
          <w:color w:val="auto"/>
        </w:rPr>
      </w:pPr>
    </w:p>
    <w:p>
      <w:pPr>
        <w:ind w:left="420" w:hanging="212"/>
        <w:spacing w:after="0" w:line="258" w:lineRule="auto"/>
        <w:tabs>
          <w:tab w:leader="none" w:pos="394"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1Q21 revenues for the Group and Specialty segment were $1.74 billion, down $128 million, or 7 percent, year over year from $1.87 billion in 1Q20. This decrease was primarily due to the anticipated decline in the company's fully-insured group commercial membership, partially offset by higher per member premiums across the fully-insured commercial business.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and Specialty segment enrollment:</w:t>
      </w:r>
    </w:p>
    <w:p>
      <w:pPr>
        <w:spacing w:after="0" w:line="148" w:lineRule="exact"/>
        <w:rPr>
          <w:sz w:val="20"/>
          <w:szCs w:val="20"/>
          <w:color w:val="auto"/>
        </w:rPr>
      </w:pPr>
    </w:p>
    <w:p>
      <w:pPr>
        <w:jc w:val="both"/>
        <w:ind w:left="420" w:hanging="212"/>
        <w:spacing w:after="0" w:line="258" w:lineRule="auto"/>
        <w:tabs>
          <w:tab w:leader="none" w:pos="394" w:val="left"/>
        </w:tabs>
        <w:numPr>
          <w:ilvl w:val="0"/>
          <w:numId w:val="2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Group fully-insured commercial medical </w:t>
      </w:r>
      <w:r>
        <w:rPr>
          <w:rFonts w:ascii="Arial" w:cs="Arial" w:eastAsia="Arial" w:hAnsi="Arial"/>
          <w:sz w:val="13"/>
          <w:szCs w:val="13"/>
          <w:color w:val="auto"/>
        </w:rPr>
        <w:t>membership was 721,300 at March 31, 2021, a decrease of 140,300, or 16 percent, from 861,600 at March 31, 2020, and down 56,100, or 7</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percent, from 777,400 at December 31, 2020. These declines reflect lower small group quoting activity and sales attributable to depressed economic activity from the COVID-19 pandemic, partially offset by higher retention of existing customers, particularly in larger groups. The portion of group fully-insured commercial medical membership in small group accounts (2-99 sized employer groups) was approximately 53 percent at March 31, 2021 compared to 54 percent at December 31, 2020 and 57 percent at March 31, 2020.</w:t>
      </w:r>
    </w:p>
    <w:p>
      <w:pPr>
        <w:spacing w:after="0" w:line="113" w:lineRule="exact"/>
        <w:rPr>
          <w:rFonts w:ascii="Arial" w:cs="Arial" w:eastAsia="Arial" w:hAnsi="Arial"/>
          <w:sz w:val="13"/>
          <w:szCs w:val="13"/>
          <w:color w:val="auto"/>
        </w:rPr>
      </w:pPr>
    </w:p>
    <w:p>
      <w:pPr>
        <w:jc w:val="both"/>
        <w:ind w:left="420" w:hanging="212"/>
        <w:spacing w:after="0" w:line="264" w:lineRule="auto"/>
        <w:tabs>
          <w:tab w:leader="none" w:pos="394" w:val="left"/>
        </w:tabs>
        <w:numPr>
          <w:ilvl w:val="0"/>
          <w:numId w:val="2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Group ASO commercial medical </w:t>
      </w:r>
      <w:r>
        <w:rPr>
          <w:rFonts w:ascii="Arial" w:cs="Arial" w:eastAsia="Arial" w:hAnsi="Arial"/>
          <w:sz w:val="13"/>
          <w:szCs w:val="13"/>
          <w:color w:val="auto"/>
        </w:rPr>
        <w:t>membership was 500,600 at March 31, 2021, a decrease of 5,500, or 1 percent, from 506,100 at March 31, 2020, and down 4,300, or 1 percent, from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504,900 at December 31, 2020. Small group membership comprised 45 percent of group ASO medical membership at March 31, 2021, December 31, 2020 and March 31, 2020. Membership as of March 31, 2021 reflects intensified competition for small group accounts, partially offset by strong retention among large group accounts.</w:t>
      </w:r>
    </w:p>
    <w:p>
      <w:pPr>
        <w:spacing w:after="0" w:line="109" w:lineRule="exact"/>
        <w:rPr>
          <w:rFonts w:ascii="Arial" w:cs="Arial" w:eastAsia="Arial" w:hAnsi="Arial"/>
          <w:sz w:val="13"/>
          <w:szCs w:val="13"/>
          <w:color w:val="auto"/>
        </w:rPr>
      </w:pPr>
    </w:p>
    <w:p>
      <w:pPr>
        <w:jc w:val="both"/>
        <w:ind w:left="420" w:hanging="212"/>
        <w:spacing w:after="0" w:line="264" w:lineRule="auto"/>
        <w:tabs>
          <w:tab w:leader="none" w:pos="394" w:val="left"/>
        </w:tabs>
        <w:numPr>
          <w:ilvl w:val="0"/>
          <w:numId w:val="26"/>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Military services </w:t>
      </w:r>
      <w:r>
        <w:rPr>
          <w:rFonts w:ascii="Arial" w:cs="Arial" w:eastAsia="Arial" w:hAnsi="Arial"/>
          <w:sz w:val="13"/>
          <w:szCs w:val="13"/>
          <w:color w:val="auto"/>
        </w:rPr>
        <w:t>membership was 6,047,400 at March 31, 2021, an increase of 48,200, or 1 percent, from 5,999,200 at March 31, 2020, and up 48,700, or 1 percent, from 5,998,700 at</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December 31, 2020. Membership includes military service members, retirees, and their families to whom the company is providing healthcare services under the current TRICARE East Region contract.</w:t>
      </w:r>
    </w:p>
    <w:p>
      <w:pPr>
        <w:spacing w:after="0" w:line="109" w:lineRule="exact"/>
        <w:rPr>
          <w:rFonts w:ascii="Arial" w:cs="Arial" w:eastAsia="Arial" w:hAnsi="Arial"/>
          <w:sz w:val="13"/>
          <w:szCs w:val="13"/>
          <w:color w:val="auto"/>
        </w:rPr>
      </w:pPr>
    </w:p>
    <w:p>
      <w:pPr>
        <w:jc w:val="both"/>
        <w:ind w:left="420" w:hanging="212"/>
        <w:spacing w:after="0" w:line="258" w:lineRule="auto"/>
        <w:tabs>
          <w:tab w:leader="none" w:pos="394" w:val="left"/>
        </w:tabs>
        <w:numPr>
          <w:ilvl w:val="0"/>
          <w:numId w:val="26"/>
        </w:numPr>
        <w:rPr>
          <w:rFonts w:ascii="Arial" w:cs="Arial" w:eastAsia="Arial" w:hAnsi="Arial"/>
          <w:sz w:val="13"/>
          <w:szCs w:val="13"/>
          <w:color w:val="auto"/>
        </w:rPr>
      </w:pPr>
      <w:r>
        <w:rPr>
          <w:rFonts w:ascii="Arial" w:cs="Arial" w:eastAsia="Arial" w:hAnsi="Arial"/>
          <w:sz w:val="13"/>
          <w:szCs w:val="13"/>
          <w:color w:val="auto"/>
        </w:rPr>
        <w:t xml:space="preserve">Membership in </w:t>
      </w:r>
      <w:r>
        <w:rPr>
          <w:rFonts w:ascii="Arial" w:cs="Arial" w:eastAsia="Arial" w:hAnsi="Arial"/>
          <w:sz w:val="13"/>
          <w:szCs w:val="13"/>
          <w:b w:val="1"/>
          <w:bCs w:val="1"/>
          <w:i w:val="1"/>
          <w:iCs w:val="1"/>
          <w:color w:val="auto"/>
        </w:rPr>
        <w:t>specialty products</w:t>
      </w:r>
      <w:r>
        <w:rPr>
          <w:rFonts w:ascii="Arial" w:cs="Arial" w:eastAsia="Arial" w:hAnsi="Arial"/>
          <w:sz w:val="7"/>
          <w:szCs w:val="7"/>
          <w:color w:val="auto"/>
        </w:rPr>
        <w:t>(f)</w:t>
      </w:r>
      <w:r>
        <w:rPr>
          <w:rFonts w:ascii="Arial" w:cs="Arial" w:eastAsia="Arial" w:hAnsi="Arial"/>
          <w:sz w:val="13"/>
          <w:szCs w:val="13"/>
          <w:color w:val="auto"/>
        </w:rPr>
        <w:t xml:space="preserve"> was 5,326,100 at March 31, 2021, a decrease of 144,600, or 3 percent, from 5,470,700, at March 31, 2020, but up 15,800 from 5,310,300 at December 31, 2020. These changes reflect the impact of the current economic downturn driven by the COVID-19 pandemic as previously discussed. The year-over-year membership decline reflects the loss of dental and vision groups cross-sold with medical, as reflected in the loss of group fully-insured commercial medical membership, as well as the loss of certain groups with stand-alone dental and vision. The sequential increase in specialty membership resulted from higher vision membership partially offset by a decline in dental members.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and Specialty segment benefits expense:</w:t>
      </w:r>
    </w:p>
    <w:p>
      <w:pPr>
        <w:spacing w:after="0" w:line="164" w:lineRule="exact"/>
        <w:rPr>
          <w:sz w:val="20"/>
          <w:szCs w:val="20"/>
          <w:color w:val="auto"/>
        </w:rPr>
      </w:pPr>
    </w:p>
    <w:p>
      <w:pPr>
        <w:ind w:left="420" w:right="200" w:hanging="212"/>
        <w:spacing w:after="0" w:line="258" w:lineRule="auto"/>
        <w:tabs>
          <w:tab w:leader="none" w:pos="394" w:val="left"/>
        </w:tabs>
        <w:numPr>
          <w:ilvl w:val="0"/>
          <w:numId w:val="27"/>
        </w:numPr>
        <w:rPr>
          <w:rFonts w:ascii="Arial" w:cs="Arial" w:eastAsia="Arial" w:hAnsi="Arial"/>
          <w:sz w:val="13"/>
          <w:szCs w:val="13"/>
          <w:b w:val="1"/>
          <w:bCs w:val="1"/>
          <w:color w:val="auto"/>
        </w:rPr>
      </w:pPr>
      <w:r>
        <w:rPr>
          <w:rFonts w:ascii="Arial" w:cs="Arial" w:eastAsia="Arial" w:hAnsi="Arial"/>
          <w:sz w:val="13"/>
          <w:szCs w:val="13"/>
          <w:color w:val="auto"/>
        </w:rPr>
        <w:t>The 1Q21 benefit ratio for the Group and Specialty segment was 74.7 percent, a decrease of 440 basis points from 79.1 percent for 1Q20. The year-over-year decrease in the segment benefit ratio was primarily due to the following factors:</w:t>
      </w:r>
    </w:p>
    <w:p>
      <w:pPr>
        <w:spacing w:after="0" w:line="128" w:lineRule="exact"/>
        <w:rPr>
          <w:rFonts w:ascii="Arial" w:cs="Arial" w:eastAsia="Arial" w:hAnsi="Arial"/>
          <w:sz w:val="13"/>
          <w:szCs w:val="13"/>
          <w:b w:val="1"/>
          <w:bCs w:val="1"/>
          <w:color w:val="auto"/>
        </w:rPr>
      </w:pPr>
    </w:p>
    <w:p>
      <w:pPr>
        <w:ind w:left="900" w:hanging="260"/>
        <w:spacing w:after="0"/>
        <w:tabs>
          <w:tab w:leader="none" w:pos="900" w:val="left"/>
        </w:tabs>
        <w:numPr>
          <w:ilvl w:val="1"/>
          <w:numId w:val="27"/>
        </w:numPr>
        <w:rPr>
          <w:rFonts w:ascii="Arial" w:cs="Arial" w:eastAsia="Arial" w:hAnsi="Arial"/>
          <w:sz w:val="13"/>
          <w:szCs w:val="13"/>
          <w:color w:val="auto"/>
        </w:rPr>
      </w:pPr>
      <w:r>
        <w:rPr>
          <w:rFonts w:ascii="Arial" w:cs="Arial" w:eastAsia="Arial" w:hAnsi="Arial"/>
          <w:sz w:val="13"/>
          <w:szCs w:val="13"/>
          <w:color w:val="auto"/>
        </w:rPr>
        <w:t>higher favorable Prior Period Development in the segment in 1Q21 as further described below; and</w:t>
      </w:r>
    </w:p>
    <w:p>
      <w:pPr>
        <w:spacing w:after="0" w:line="147" w:lineRule="exact"/>
        <w:rPr>
          <w:rFonts w:ascii="Arial" w:cs="Arial" w:eastAsia="Arial" w:hAnsi="Arial"/>
          <w:sz w:val="13"/>
          <w:szCs w:val="13"/>
          <w:color w:val="auto"/>
        </w:rPr>
      </w:pPr>
    </w:p>
    <w:p>
      <w:pPr>
        <w:ind w:left="860" w:hanging="220"/>
        <w:spacing w:after="0"/>
        <w:tabs>
          <w:tab w:leader="none" w:pos="860" w:val="left"/>
        </w:tabs>
        <w:numPr>
          <w:ilvl w:val="1"/>
          <w:numId w:val="27"/>
        </w:numPr>
        <w:rPr>
          <w:rFonts w:ascii="Arial" w:cs="Arial" w:eastAsia="Arial" w:hAnsi="Arial"/>
          <w:sz w:val="13"/>
          <w:szCs w:val="13"/>
          <w:color w:val="auto"/>
        </w:rPr>
      </w:pPr>
      <w:r>
        <w:rPr>
          <w:rFonts w:ascii="Arial" w:cs="Arial" w:eastAsia="Arial" w:hAnsi="Arial"/>
          <w:sz w:val="13"/>
          <w:szCs w:val="13"/>
          <w:color w:val="auto"/>
        </w:rPr>
        <w:t>deliberate pricing and benefit design efforts to increase profitability and position the commercial business for long-term success.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These improvements were partially offset by the following factors: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0"/>
          </w:cols>
          <w:pgMar w:left="300" w:top="769" w:right="299" w:bottom="1440" w:gutter="0" w:footer="0" w:header="0"/>
        </w:sectPr>
      </w:pPr>
    </w:p>
    <w:bookmarkStart w:id="21" w:name="page22"/>
    <w:bookmarkEnd w:id="21"/>
    <w:p>
      <w:pPr>
        <w:ind w:left="860" w:hanging="220"/>
        <w:spacing w:after="0" w:line="258" w:lineRule="auto"/>
        <w:tabs>
          <w:tab w:leader="none" w:pos="871" w:val="left"/>
        </w:tabs>
        <w:numPr>
          <w:ilvl w:val="0"/>
          <w:numId w:val="28"/>
        </w:numPr>
        <w:rPr>
          <w:rFonts w:ascii="Arial" w:cs="Arial" w:eastAsia="Arial" w:hAnsi="Arial"/>
          <w:sz w:val="13"/>
          <w:szCs w:val="13"/>
          <w:color w:val="auto"/>
        </w:rPr>
      </w:pPr>
      <w:r>
        <w:rPr>
          <w:rFonts w:ascii="Arial" w:cs="Arial" w:eastAsia="Arial" w:hAnsi="Arial"/>
          <w:sz w:val="13"/>
          <w:szCs w:val="13"/>
          <w:color w:val="auto"/>
        </w:rPr>
        <w:t>the termination in 2021 of the non-deductible HIF which, along with a portion of the related tax benefit, was contemplated in the pricing and benefit design of the company's products; and</w:t>
      </w:r>
    </w:p>
    <w:p>
      <w:pPr>
        <w:spacing w:after="0" w:line="128" w:lineRule="exact"/>
        <w:rPr>
          <w:rFonts w:ascii="Arial" w:cs="Arial" w:eastAsia="Arial" w:hAnsi="Arial"/>
          <w:sz w:val="13"/>
          <w:szCs w:val="13"/>
          <w:color w:val="auto"/>
        </w:rPr>
      </w:pPr>
    </w:p>
    <w:p>
      <w:pPr>
        <w:ind w:left="860" w:right="260" w:hanging="220"/>
        <w:spacing w:after="0" w:line="258" w:lineRule="auto"/>
        <w:tabs>
          <w:tab w:leader="none" w:pos="862" w:val="left"/>
        </w:tabs>
        <w:numPr>
          <w:ilvl w:val="0"/>
          <w:numId w:val="28"/>
        </w:numPr>
        <w:rPr>
          <w:rFonts w:ascii="Arial" w:cs="Arial" w:eastAsia="Arial" w:hAnsi="Arial"/>
          <w:sz w:val="13"/>
          <w:szCs w:val="13"/>
          <w:color w:val="auto"/>
        </w:rPr>
      </w:pPr>
      <w:r>
        <w:rPr>
          <w:rFonts w:ascii="Arial" w:cs="Arial" w:eastAsia="Arial" w:hAnsi="Arial"/>
          <w:sz w:val="13"/>
          <w:szCs w:val="13"/>
          <w:color w:val="auto"/>
        </w:rPr>
        <w:t>higher utilization in 1Q21 driven by COVID-19 treatment and testing costs, net of the impact of the temporary deferral of non-COVID utilization, primarily associated with dental services.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3"/>
          <w:szCs w:val="13"/>
          <w:b w:val="1"/>
          <w:bCs w:val="1"/>
          <w:u w:val="single" w:color="auto"/>
          <w:color w:val="auto"/>
        </w:rPr>
        <w:t>Prior Period Development</w:t>
      </w:r>
    </w:p>
    <w:p>
      <w:pPr>
        <w:spacing w:after="0" w:line="164" w:lineRule="exact"/>
        <w:rPr>
          <w:sz w:val="20"/>
          <w:szCs w:val="20"/>
          <w:color w:val="auto"/>
        </w:rPr>
      </w:pPr>
    </w:p>
    <w:p>
      <w:pPr>
        <w:ind w:left="420" w:right="20"/>
        <w:spacing w:after="0" w:line="258" w:lineRule="auto"/>
        <w:rPr>
          <w:sz w:val="20"/>
          <w:szCs w:val="20"/>
          <w:color w:val="auto"/>
        </w:rPr>
      </w:pPr>
      <w:r>
        <w:rPr>
          <w:rFonts w:ascii="Arial" w:cs="Arial" w:eastAsia="Arial" w:hAnsi="Arial"/>
          <w:sz w:val="13"/>
          <w:szCs w:val="13"/>
          <w:color w:val="auto"/>
        </w:rPr>
        <w:t>As anticipated, Humana experienced a higher level of favorable Prior Period Development in 1Q21 as a result of the suspension of certain financial recovery programs for a period of time in 2020. The suspension during 2020 was intended to provide financial and administrative relief for providers facing unprecedented strain as a result of the COVID-19 pandemic.</w:t>
      </w:r>
    </w:p>
    <w:p>
      <w:pPr>
        <w:spacing w:after="0" w:line="129" w:lineRule="exact"/>
        <w:rPr>
          <w:sz w:val="20"/>
          <w:szCs w:val="20"/>
          <w:color w:val="auto"/>
        </w:rPr>
      </w:pPr>
    </w:p>
    <w:p>
      <w:pPr>
        <w:ind w:left="420"/>
        <w:spacing w:after="0" w:line="258" w:lineRule="auto"/>
        <w:rPr>
          <w:sz w:val="20"/>
          <w:szCs w:val="20"/>
          <w:color w:val="auto"/>
        </w:rPr>
      </w:pPr>
      <w:r>
        <w:rPr>
          <w:rFonts w:ascii="Arial" w:cs="Arial" w:eastAsia="Arial" w:hAnsi="Arial"/>
          <w:sz w:val="13"/>
          <w:szCs w:val="13"/>
          <w:color w:val="auto"/>
        </w:rPr>
        <w:t>The segment's favorable Prior Period Development of $92 million for 1Q21 compared to favorable development of $46 million in 1Q20. The favorable Prior Period Development for the Group and Specialty segment decreased the 1Q21 benefit ratio by 600 basis points and decreased the 1Q20 ratio by 280 basis points.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and Specialty segment operating costs:</w:t>
      </w:r>
    </w:p>
    <w:p>
      <w:pPr>
        <w:spacing w:after="0" w:line="164" w:lineRule="exact"/>
        <w:rPr>
          <w:sz w:val="20"/>
          <w:szCs w:val="20"/>
          <w:color w:val="auto"/>
        </w:rPr>
      </w:pPr>
    </w:p>
    <w:p>
      <w:pPr>
        <w:ind w:left="400" w:hanging="192"/>
        <w:spacing w:after="0"/>
        <w:tabs>
          <w:tab w:leader="none" w:pos="400" w:val="left"/>
        </w:tabs>
        <w:numPr>
          <w:ilvl w:val="0"/>
          <w:numId w:val="29"/>
        </w:numPr>
        <w:rPr>
          <w:rFonts w:ascii="Arial" w:cs="Arial" w:eastAsia="Arial" w:hAnsi="Arial"/>
          <w:sz w:val="13"/>
          <w:szCs w:val="13"/>
          <w:b w:val="1"/>
          <w:bCs w:val="1"/>
          <w:color w:val="auto"/>
        </w:rPr>
      </w:pPr>
      <w:r>
        <w:rPr>
          <w:rFonts w:ascii="Arial" w:cs="Arial" w:eastAsia="Arial" w:hAnsi="Arial"/>
          <w:sz w:val="13"/>
          <w:szCs w:val="13"/>
          <w:color w:val="auto"/>
        </w:rPr>
        <w:t>The Group and Specialty segment’s operating cost ratio was 22.9 percent in 1Q21, a decrease of 20 basis points from 23.1 percent in 1Q20, primarily reflecting the following factors:</w:t>
      </w:r>
    </w:p>
    <w:p>
      <w:pPr>
        <w:spacing w:after="0" w:line="147" w:lineRule="exact"/>
        <w:rPr>
          <w:rFonts w:ascii="Arial" w:cs="Arial" w:eastAsia="Arial" w:hAnsi="Arial"/>
          <w:sz w:val="13"/>
          <w:szCs w:val="13"/>
          <w:b w:val="1"/>
          <w:bCs w:val="1"/>
          <w:color w:val="auto"/>
        </w:rPr>
      </w:pPr>
    </w:p>
    <w:p>
      <w:pPr>
        <w:ind w:left="860" w:hanging="220"/>
        <w:spacing w:after="0"/>
        <w:tabs>
          <w:tab w:leader="none" w:pos="860" w:val="left"/>
        </w:tabs>
        <w:numPr>
          <w:ilvl w:val="1"/>
          <w:numId w:val="29"/>
        </w:numPr>
        <w:rPr>
          <w:rFonts w:ascii="Arial" w:cs="Arial" w:eastAsia="Arial" w:hAnsi="Arial"/>
          <w:sz w:val="13"/>
          <w:szCs w:val="13"/>
          <w:color w:val="auto"/>
        </w:rPr>
      </w:pPr>
      <w:r>
        <w:rPr>
          <w:rFonts w:ascii="Arial" w:cs="Arial" w:eastAsia="Arial" w:hAnsi="Arial"/>
          <w:sz w:val="13"/>
          <w:szCs w:val="13"/>
          <w:color w:val="auto"/>
        </w:rPr>
        <w:t>termination of the non-deductible HIF in 2021, which increased the Group and Specialty segment GAAP operating cost ratio by approximately 140 basis points in 1Q20; and</w:t>
      </w:r>
    </w:p>
    <w:p>
      <w:pPr>
        <w:spacing w:after="0" w:line="147" w:lineRule="exact"/>
        <w:rPr>
          <w:rFonts w:ascii="Arial" w:cs="Arial" w:eastAsia="Arial" w:hAnsi="Arial"/>
          <w:sz w:val="13"/>
          <w:szCs w:val="13"/>
          <w:color w:val="auto"/>
        </w:rPr>
      </w:pPr>
    </w:p>
    <w:p>
      <w:pPr>
        <w:ind w:left="860" w:hanging="220"/>
        <w:spacing w:after="0"/>
        <w:tabs>
          <w:tab w:leader="none" w:pos="860" w:val="left"/>
        </w:tabs>
        <w:numPr>
          <w:ilvl w:val="1"/>
          <w:numId w:val="29"/>
        </w:numPr>
        <w:rPr>
          <w:rFonts w:ascii="Arial" w:cs="Arial" w:eastAsia="Arial" w:hAnsi="Arial"/>
          <w:sz w:val="13"/>
          <w:szCs w:val="13"/>
          <w:color w:val="auto"/>
        </w:rPr>
      </w:pPr>
      <w:r>
        <w:rPr>
          <w:rFonts w:ascii="Arial" w:cs="Arial" w:eastAsia="Arial" w:hAnsi="Arial"/>
          <w:sz w:val="13"/>
          <w:szCs w:val="13"/>
          <w:color w:val="auto"/>
        </w:rPr>
        <w:t>operating cost efficiencies in 1Q21 driven by previously implemented productivity initiatives.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These improvements were partially offset by continued strategic investments made to position the company for long-term success.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Group and Specialty segment results:</w:t>
      </w:r>
    </w:p>
    <w:p>
      <w:pPr>
        <w:spacing w:after="0" w:line="164" w:lineRule="exact"/>
        <w:rPr>
          <w:sz w:val="20"/>
          <w:szCs w:val="20"/>
          <w:color w:val="auto"/>
        </w:rPr>
      </w:pPr>
    </w:p>
    <w:tbl>
      <w:tblPr>
        <w:tblLayout w:type="fixed"/>
        <w:tblInd w:w="1230" w:type="dxa"/>
        <w:tblCellMar>
          <w:top w:w="0" w:type="dxa"/>
          <w:left w:w="0" w:type="dxa"/>
          <w:bottom w:w="0" w:type="dxa"/>
          <w:right w:w="0" w:type="dxa"/>
        </w:tblCellMar>
      </w:tblPr>
      <w:tr>
        <w:trPr>
          <w:trHeight w:val="108"/>
        </w:trPr>
        <w:tc>
          <w:tcPr>
            <w:tcW w:w="6460" w:type="dxa"/>
            <w:vAlign w:val="bottom"/>
            <w:tcBorders>
              <w:top w:val="single" w:sz="8" w:color="auto"/>
              <w:left w:val="single" w:sz="8" w:color="auto"/>
              <w:right w:val="single" w:sz="8" w:color="auto"/>
            </w:tcBorders>
          </w:tcPr>
          <w:p>
            <w:pPr>
              <w:ind w:left="20"/>
              <w:spacing w:after="0" w:line="108" w:lineRule="exact"/>
              <w:rPr>
                <w:sz w:val="20"/>
                <w:szCs w:val="20"/>
                <w:color w:val="auto"/>
              </w:rPr>
            </w:pPr>
            <w:r>
              <w:rPr>
                <w:rFonts w:ascii="Arial" w:cs="Arial" w:eastAsia="Arial" w:hAnsi="Arial"/>
                <w:sz w:val="10"/>
                <w:szCs w:val="10"/>
                <w:b w:val="1"/>
                <w:bCs w:val="1"/>
                <w:color w:val="auto"/>
              </w:rPr>
              <w:t>Group and Specialty segment earnings</w:t>
            </w:r>
          </w:p>
        </w:tc>
        <w:tc>
          <w:tcPr>
            <w:tcW w:w="1200" w:type="dxa"/>
            <w:vAlign w:val="bottom"/>
            <w:tcBorders>
              <w:top w:val="single" w:sz="8" w:color="auto"/>
              <w:right w:val="single" w:sz="8" w:color="auto"/>
            </w:tcBorders>
            <w:shd w:val="clear" w:color="auto" w:fill="EAEAEA"/>
          </w:tcPr>
          <w:p>
            <w:pPr>
              <w:spacing w:after="0"/>
              <w:rPr>
                <w:sz w:val="9"/>
                <w:szCs w:val="9"/>
                <w:color w:val="auto"/>
              </w:rPr>
            </w:pPr>
          </w:p>
        </w:tc>
        <w:tc>
          <w:tcPr>
            <w:tcW w:w="1220" w:type="dxa"/>
            <w:vAlign w:val="bottom"/>
            <w:tcBorders>
              <w:top w:val="single" w:sz="8" w:color="auto"/>
              <w:right w:val="single" w:sz="8" w:color="auto"/>
            </w:tcBorders>
          </w:tcPr>
          <w:p>
            <w:pPr>
              <w:spacing w:after="0"/>
              <w:rPr>
                <w:sz w:val="9"/>
                <w:szCs w:val="9"/>
                <w:color w:val="auto"/>
              </w:rPr>
            </w:pPr>
          </w:p>
        </w:tc>
      </w:tr>
      <w:tr>
        <w:trPr>
          <w:trHeight w:val="135"/>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1200" w:type="dxa"/>
            <w:vAlign w:val="bottom"/>
            <w:tcBorders>
              <w:bottom w:val="single" w:sz="8" w:color="auto"/>
              <w:right w:val="single" w:sz="8" w:color="auto"/>
            </w:tcBorders>
            <w:shd w:val="clear" w:color="auto" w:fill="EAEAEA"/>
          </w:tcPr>
          <w:p>
            <w:pPr>
              <w:jc w:val="right"/>
              <w:ind w:right="368"/>
              <w:spacing w:after="0"/>
              <w:rPr>
                <w:sz w:val="20"/>
                <w:szCs w:val="20"/>
                <w:color w:val="auto"/>
              </w:rPr>
            </w:pPr>
            <w:r>
              <w:rPr>
                <w:rFonts w:ascii="Arial" w:cs="Arial" w:eastAsia="Arial" w:hAnsi="Arial"/>
                <w:sz w:val="10"/>
                <w:szCs w:val="10"/>
                <w:b w:val="1"/>
                <w:bCs w:val="1"/>
                <w:color w:val="auto"/>
              </w:rPr>
              <w:t>1Q21 (a)</w:t>
            </w:r>
          </w:p>
        </w:tc>
        <w:tc>
          <w:tcPr>
            <w:tcW w:w="1220" w:type="dxa"/>
            <w:vAlign w:val="bottom"/>
            <w:tcBorders>
              <w:bottom w:val="single" w:sz="8" w:color="auto"/>
              <w:right w:val="single" w:sz="8" w:color="auto"/>
            </w:tcBorders>
          </w:tcPr>
          <w:p>
            <w:pPr>
              <w:jc w:val="right"/>
              <w:ind w:right="388"/>
              <w:spacing w:after="0"/>
              <w:rPr>
                <w:sz w:val="20"/>
                <w:szCs w:val="20"/>
                <w:color w:val="auto"/>
              </w:rPr>
            </w:pPr>
            <w:r>
              <w:rPr>
                <w:rFonts w:ascii="Arial" w:cs="Arial" w:eastAsia="Arial" w:hAnsi="Arial"/>
                <w:sz w:val="10"/>
                <w:szCs w:val="10"/>
                <w:color w:val="auto"/>
              </w:rPr>
              <w:t>1Q20 (b)</w:t>
            </w:r>
          </w:p>
        </w:tc>
      </w:tr>
      <w:tr>
        <w:trPr>
          <w:trHeight w:val="132"/>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w:t>
            </w:r>
          </w:p>
        </w:tc>
        <w:tc>
          <w:tcPr>
            <w:tcW w:w="1200" w:type="dxa"/>
            <w:vAlign w:val="bottom"/>
            <w:tcBorders>
              <w:bottom w:val="single" w:sz="8" w:color="auto"/>
              <w:right w:val="single" w:sz="8" w:color="auto"/>
            </w:tcBorders>
            <w:shd w:val="clear" w:color="auto" w:fill="EAEAEA"/>
          </w:tcPr>
          <w:p>
            <w:pPr>
              <w:jc w:val="right"/>
              <w:ind w:right="8"/>
              <w:spacing w:after="0"/>
              <w:rPr>
                <w:sz w:val="20"/>
                <w:szCs w:val="20"/>
                <w:color w:val="auto"/>
              </w:rPr>
            </w:pPr>
            <w:r>
              <w:rPr>
                <w:rFonts w:ascii="Arial" w:cs="Arial" w:eastAsia="Arial" w:hAnsi="Arial"/>
                <w:sz w:val="11"/>
                <w:szCs w:val="11"/>
                <w:b w:val="1"/>
                <w:bCs w:val="1"/>
                <w:color w:val="auto"/>
              </w:rPr>
              <w:t>$174</w:t>
            </w:r>
          </w:p>
        </w:tc>
        <w:tc>
          <w:tcPr>
            <w:tcW w:w="12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color w:val="auto"/>
              </w:rPr>
              <w:t>$105</w:t>
            </w:r>
          </w:p>
        </w:tc>
      </w:tr>
      <w:tr>
        <w:trPr>
          <w:trHeight w:val="133"/>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Amortization associated with identifiable intangibles</w:t>
            </w:r>
          </w:p>
        </w:tc>
        <w:tc>
          <w:tcPr>
            <w:tcW w:w="1200" w:type="dxa"/>
            <w:vAlign w:val="bottom"/>
            <w:tcBorders>
              <w:bottom w:val="single" w:sz="8" w:color="auto"/>
              <w:right w:val="single" w:sz="8" w:color="auto"/>
            </w:tcBorders>
            <w:shd w:val="clear" w:color="auto" w:fill="EAEAEA"/>
          </w:tcPr>
          <w:p>
            <w:pPr>
              <w:jc w:val="right"/>
              <w:ind w:right="8"/>
              <w:spacing w:after="0"/>
              <w:rPr>
                <w:sz w:val="20"/>
                <w:szCs w:val="20"/>
                <w:color w:val="auto"/>
              </w:rPr>
            </w:pPr>
            <w:r>
              <w:rPr>
                <w:rFonts w:ascii="Arial" w:cs="Arial" w:eastAsia="Arial" w:hAnsi="Arial"/>
                <w:sz w:val="11"/>
                <w:szCs w:val="11"/>
                <w:b w:val="1"/>
                <w:bCs w:val="1"/>
                <w:color w:val="auto"/>
              </w:rPr>
              <w:t>1</w:t>
            </w:r>
          </w:p>
        </w:tc>
        <w:tc>
          <w:tcPr>
            <w:tcW w:w="12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color w:val="auto"/>
              </w:rPr>
              <w:t>1</w:t>
            </w:r>
          </w:p>
        </w:tc>
      </w:tr>
      <w:tr>
        <w:trPr>
          <w:trHeight w:val="133"/>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(non-GAAP)</w:t>
            </w:r>
          </w:p>
        </w:tc>
        <w:tc>
          <w:tcPr>
            <w:tcW w:w="1200" w:type="dxa"/>
            <w:vAlign w:val="bottom"/>
            <w:tcBorders>
              <w:bottom w:val="single" w:sz="8" w:color="auto"/>
              <w:right w:val="single" w:sz="8" w:color="auto"/>
            </w:tcBorders>
            <w:shd w:val="clear" w:color="auto" w:fill="EAEAEA"/>
          </w:tcPr>
          <w:p>
            <w:pPr>
              <w:jc w:val="right"/>
              <w:ind w:right="8"/>
              <w:spacing w:after="0"/>
              <w:rPr>
                <w:sz w:val="20"/>
                <w:szCs w:val="20"/>
                <w:color w:val="auto"/>
              </w:rPr>
            </w:pPr>
            <w:r>
              <w:rPr>
                <w:rFonts w:ascii="Arial" w:cs="Arial" w:eastAsia="Arial" w:hAnsi="Arial"/>
                <w:sz w:val="11"/>
                <w:szCs w:val="11"/>
                <w:b w:val="1"/>
                <w:bCs w:val="1"/>
                <w:color w:val="auto"/>
              </w:rPr>
              <w:t>$175</w:t>
            </w:r>
          </w:p>
        </w:tc>
        <w:tc>
          <w:tcPr>
            <w:tcW w:w="122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1"/>
                <w:szCs w:val="11"/>
                <w:color w:val="auto"/>
              </w:rPr>
              <w:t>$106</w:t>
            </w:r>
          </w:p>
        </w:tc>
      </w:tr>
    </w:tbl>
    <w:p>
      <w:pPr>
        <w:spacing w:after="0" w:line="133" w:lineRule="exact"/>
        <w:rPr>
          <w:sz w:val="20"/>
          <w:szCs w:val="20"/>
          <w:color w:val="auto"/>
        </w:rPr>
      </w:pPr>
    </w:p>
    <w:p>
      <w:pPr>
        <w:ind w:left="400" w:hanging="192"/>
        <w:spacing w:after="0"/>
        <w:tabs>
          <w:tab w:leader="none" w:pos="4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favorable year-over-year quarter comparison in GAAP segment results was impacted by the same factors that led to the segment's lower benefit and operating cost ratios in 1Q21.</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Humana’s Healthcare Services Segment</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This segment includes services offered to the company’s health plan members as well as to third parties, including pharmacy solutions, provider services, and clinical programs, such as home health and other services and capabilities to promote wellness and advance population health, including the company's non-consolidating minority interest investments in Kindred at Home and the strategic partnership with Welsh, Carson, Anderson &amp; Stowe (WCAS) to develop and operate senior-focused, payor-agnostic, primary care centers.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Services offered by this segment are designed to enhance the healthcare experience overall. These services may lead to lower utilization associated with improved member health and/or lower drug costs.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929" w:right="299" w:bottom="1440" w:gutter="0" w:footer="0" w:header="0"/>
        </w:sectPr>
      </w:pPr>
    </w:p>
    <w:bookmarkStart w:id="22" w:name="page23"/>
    <w:bookmarkEnd w:id="22"/>
    <w:p>
      <w:pPr>
        <w:spacing w:after="0"/>
        <w:rPr>
          <w:sz w:val="20"/>
          <w:szCs w:val="20"/>
          <w:color w:val="auto"/>
        </w:rPr>
      </w:pPr>
      <w:r>
        <w:rPr>
          <w:rFonts w:ascii="Arial" w:cs="Arial" w:eastAsia="Arial" w:hAnsi="Arial"/>
          <w:sz w:val="13"/>
          <w:szCs w:val="13"/>
          <w:b w:val="1"/>
          <w:bCs w:val="1"/>
          <w:color w:val="auto"/>
        </w:rPr>
        <w:t>Healthcare Services segment revenues:</w:t>
      </w:r>
    </w:p>
    <w:p>
      <w:pPr>
        <w:spacing w:after="0" w:line="164" w:lineRule="exact"/>
        <w:rPr>
          <w:sz w:val="20"/>
          <w:szCs w:val="20"/>
          <w:color w:val="auto"/>
        </w:rPr>
      </w:pPr>
    </w:p>
    <w:p>
      <w:pPr>
        <w:ind w:left="420" w:hanging="212"/>
        <w:spacing w:after="0" w:line="258" w:lineRule="auto"/>
        <w:tabs>
          <w:tab w:leader="none" w:pos="394" w:val="left"/>
        </w:tabs>
        <w:numPr>
          <w:ilvl w:val="0"/>
          <w:numId w:val="31"/>
        </w:numPr>
        <w:rPr>
          <w:rFonts w:ascii="Arial" w:cs="Arial" w:eastAsia="Arial" w:hAnsi="Arial"/>
          <w:sz w:val="13"/>
          <w:szCs w:val="13"/>
          <w:color w:val="auto"/>
        </w:rPr>
      </w:pPr>
      <w:r>
        <w:rPr>
          <w:rFonts w:ascii="Arial" w:cs="Arial" w:eastAsia="Arial" w:hAnsi="Arial"/>
          <w:sz w:val="13"/>
          <w:szCs w:val="13"/>
          <w:color w:val="auto"/>
        </w:rPr>
        <w:t>Revenues of $7.20 billion in 1Q21 for the Healthcare Services segment increased by $113 million, or 2 percent, from $7.09 billion in 1Q20. The year-over-year comparison was favorably impacted by the following factors:</w:t>
      </w:r>
    </w:p>
    <w:p>
      <w:pPr>
        <w:spacing w:after="0" w:line="128" w:lineRule="exact"/>
        <w:rPr>
          <w:rFonts w:ascii="Arial" w:cs="Arial" w:eastAsia="Arial" w:hAnsi="Arial"/>
          <w:sz w:val="13"/>
          <w:szCs w:val="13"/>
          <w:color w:val="auto"/>
        </w:rPr>
      </w:pPr>
    </w:p>
    <w:p>
      <w:pPr>
        <w:ind w:left="580" w:hanging="210"/>
        <w:spacing w:after="0"/>
        <w:tabs>
          <w:tab w:leader="none" w:pos="580" w:val="left"/>
        </w:tabs>
        <w:numPr>
          <w:ilvl w:val="1"/>
          <w:numId w:val="31"/>
        </w:numPr>
        <w:rPr>
          <w:rFonts w:ascii="Arial" w:cs="Arial" w:eastAsia="Arial" w:hAnsi="Arial"/>
          <w:sz w:val="13"/>
          <w:szCs w:val="13"/>
          <w:color w:val="auto"/>
        </w:rPr>
      </w:pPr>
      <w:r>
        <w:rPr>
          <w:rFonts w:ascii="Arial" w:cs="Arial" w:eastAsia="Arial" w:hAnsi="Arial"/>
          <w:sz w:val="13"/>
          <w:szCs w:val="13"/>
          <w:color w:val="auto"/>
        </w:rPr>
        <w:t>the company's strong individual Medicare Advantage membership growth,</w:t>
      </w:r>
    </w:p>
    <w:p>
      <w:pPr>
        <w:spacing w:after="0" w:line="147" w:lineRule="exact"/>
        <w:rPr>
          <w:rFonts w:ascii="Arial" w:cs="Arial" w:eastAsia="Arial" w:hAnsi="Arial"/>
          <w:sz w:val="13"/>
          <w:szCs w:val="13"/>
          <w:color w:val="auto"/>
        </w:rPr>
      </w:pPr>
    </w:p>
    <w:p>
      <w:pPr>
        <w:ind w:left="580" w:hanging="210"/>
        <w:spacing w:after="0"/>
        <w:tabs>
          <w:tab w:leader="none" w:pos="580" w:val="left"/>
        </w:tabs>
        <w:numPr>
          <w:ilvl w:val="1"/>
          <w:numId w:val="31"/>
        </w:numPr>
        <w:rPr>
          <w:rFonts w:ascii="Arial" w:cs="Arial" w:eastAsia="Arial" w:hAnsi="Arial"/>
          <w:sz w:val="13"/>
          <w:szCs w:val="13"/>
          <w:color w:val="auto"/>
        </w:rPr>
      </w:pPr>
      <w:r>
        <w:rPr>
          <w:rFonts w:ascii="Arial" w:cs="Arial" w:eastAsia="Arial" w:hAnsi="Arial"/>
          <w:sz w:val="13"/>
          <w:szCs w:val="13"/>
          <w:color w:val="auto"/>
        </w:rPr>
        <w:t>additional pharmacy revenues in 1Q21 associated with the Enclara Healthcare acquisition that closed during 1Q20, and</w:t>
      </w:r>
    </w:p>
    <w:p>
      <w:pPr>
        <w:spacing w:after="0" w:line="147" w:lineRule="exact"/>
        <w:rPr>
          <w:rFonts w:ascii="Arial" w:cs="Arial" w:eastAsia="Arial" w:hAnsi="Arial"/>
          <w:sz w:val="13"/>
          <w:szCs w:val="13"/>
          <w:color w:val="auto"/>
        </w:rPr>
      </w:pPr>
    </w:p>
    <w:p>
      <w:pPr>
        <w:ind w:left="580" w:hanging="210"/>
        <w:spacing w:after="0"/>
        <w:tabs>
          <w:tab w:leader="none" w:pos="580" w:val="left"/>
        </w:tabs>
        <w:numPr>
          <w:ilvl w:val="1"/>
          <w:numId w:val="31"/>
        </w:numPr>
        <w:rPr>
          <w:rFonts w:ascii="Arial" w:cs="Arial" w:eastAsia="Arial" w:hAnsi="Arial"/>
          <w:sz w:val="13"/>
          <w:szCs w:val="13"/>
          <w:color w:val="auto"/>
        </w:rPr>
      </w:pPr>
      <w:r>
        <w:rPr>
          <w:rFonts w:ascii="Arial" w:cs="Arial" w:eastAsia="Arial" w:hAnsi="Arial"/>
          <w:sz w:val="13"/>
          <w:szCs w:val="13"/>
          <w:color w:val="auto"/>
        </w:rPr>
        <w:t>higher revenues associated with the company's provider business.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These factors were partially offset by the following:</w:t>
      </w:r>
    </w:p>
    <w:p>
      <w:pPr>
        <w:spacing w:after="0" w:line="148" w:lineRule="exact"/>
        <w:rPr>
          <w:sz w:val="20"/>
          <w:szCs w:val="20"/>
          <w:color w:val="auto"/>
        </w:rPr>
      </w:pPr>
    </w:p>
    <w:p>
      <w:pPr>
        <w:ind w:left="580" w:hanging="210"/>
        <w:spacing w:after="0"/>
        <w:tabs>
          <w:tab w:leader="none" w:pos="5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loss of intersegment revenues associated with the decline in stand-alone PDP and group Medicare Advantage membership as previously discussed; and</w:t>
      </w:r>
    </w:p>
    <w:p>
      <w:pPr>
        <w:spacing w:after="0" w:line="147" w:lineRule="exact"/>
        <w:rPr>
          <w:rFonts w:ascii="Arial" w:cs="Arial" w:eastAsia="Arial" w:hAnsi="Arial"/>
          <w:sz w:val="13"/>
          <w:szCs w:val="13"/>
          <w:color w:val="auto"/>
        </w:rPr>
      </w:pPr>
    </w:p>
    <w:p>
      <w:pPr>
        <w:ind w:left="580" w:hanging="210"/>
        <w:spacing w:after="0" w:line="258" w:lineRule="auto"/>
        <w:tabs>
          <w:tab w:leader="none" w:pos="591"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impact of increased pharmacy revenues in 1Q20 as a result of the company allowing early prescription refills to permit members to prepare for extended supply needs due to COVID-19 restrictions.</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Healthcare Services segment operating costs:</w:t>
      </w:r>
    </w:p>
    <w:p>
      <w:pPr>
        <w:spacing w:after="0" w:line="20" w:lineRule="exact"/>
        <w:rPr>
          <w:sz w:val="20"/>
          <w:szCs w:val="20"/>
          <w:color w:val="auto"/>
        </w:rPr>
      </w:pPr>
    </w:p>
    <w:p>
      <w:pPr>
        <w:jc w:val="both"/>
        <w:ind w:left="420" w:hanging="212"/>
        <w:spacing w:after="0" w:line="249" w:lineRule="auto"/>
        <w:tabs>
          <w:tab w:leader="none" w:pos="394"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Healthcare Services segment’s operating cost ratio of 96.0 percent in 1Q21 was unchanged from the 1Q20 ratio. The 1Q21 ratio reflects operational improvements in the company's provider services business, largely related to Conviva, along with operating cost efficiencies driven by previously implemented productivity initiatives in 1Q21. These improvements were offset by increased administrative costs in the pharmacy operations as a result of incremental spend to accelerate growth within the business, labor-related overtime and shipping costs due to weather related disruptions in February 2021, and COVID-related staffing and personal protective equipment costs.</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Healthcare Services segment operating statistics:</w:t>
      </w:r>
    </w:p>
    <w:p>
      <w:pPr>
        <w:spacing w:after="0" w:line="164" w:lineRule="exact"/>
        <w:rPr>
          <w:sz w:val="20"/>
          <w:szCs w:val="20"/>
          <w:color w:val="auto"/>
        </w:rPr>
      </w:pPr>
    </w:p>
    <w:p>
      <w:pPr>
        <w:jc w:val="both"/>
        <w:ind w:left="420" w:hanging="212"/>
        <w:spacing w:after="0" w:line="251" w:lineRule="auto"/>
        <w:tabs>
          <w:tab w:leader="none" w:pos="394" w:val="left"/>
        </w:tabs>
        <w:numPr>
          <w:ilvl w:val="0"/>
          <w:numId w:val="34"/>
        </w:numPr>
        <w:rPr>
          <w:rFonts w:ascii="Arial" w:cs="Arial" w:eastAsia="Arial" w:hAnsi="Arial"/>
          <w:sz w:val="13"/>
          <w:szCs w:val="13"/>
          <w:b w:val="1"/>
          <w:bCs w:val="1"/>
          <w:color w:val="auto"/>
        </w:rPr>
      </w:pPr>
      <w:r>
        <w:rPr>
          <w:rFonts w:ascii="Arial" w:cs="Arial" w:eastAsia="Arial" w:hAnsi="Arial"/>
          <w:sz w:val="13"/>
          <w:szCs w:val="13"/>
          <w:color w:val="auto"/>
        </w:rPr>
        <w:t>Medicare Advantage and dual demonstration program membership enrolled in a Humana care management program</w:t>
      </w:r>
      <w:r>
        <w:rPr>
          <w:rFonts w:ascii="Arial" w:cs="Arial" w:eastAsia="Arial" w:hAnsi="Arial"/>
          <w:sz w:val="7"/>
          <w:szCs w:val="7"/>
          <w:color w:val="auto"/>
        </w:rPr>
        <w:t>(g)</w:t>
      </w:r>
      <w:r>
        <w:rPr>
          <w:rFonts w:ascii="Arial" w:cs="Arial" w:eastAsia="Arial" w:hAnsi="Arial"/>
          <w:sz w:val="13"/>
          <w:szCs w:val="13"/>
          <w:color w:val="auto"/>
        </w:rPr>
        <w:t xml:space="preserve"> was 925,100 at March 31, 2021, up 3 percent from 899,700 at March 31, 2020 and up 2 percent from 910,600 at December 31, 2020. These increases were primarily driven by growth in Special Needs Plans (SNP) membership, partially offset by improved predictive modeling leading to a reduction in members being managed by legacy care management programs.</w:t>
      </w:r>
    </w:p>
    <w:p>
      <w:pPr>
        <w:spacing w:after="0" w:line="133" w:lineRule="exact"/>
        <w:rPr>
          <w:rFonts w:ascii="Arial" w:cs="Arial" w:eastAsia="Arial" w:hAnsi="Arial"/>
          <w:sz w:val="13"/>
          <w:szCs w:val="13"/>
          <w:b w:val="1"/>
          <w:bCs w:val="1"/>
          <w:color w:val="auto"/>
        </w:rPr>
      </w:pPr>
    </w:p>
    <w:p>
      <w:pPr>
        <w:jc w:val="both"/>
        <w:ind w:left="420" w:hanging="212"/>
        <w:spacing w:after="0" w:line="251" w:lineRule="auto"/>
        <w:tabs>
          <w:tab w:leader="none" w:pos="394" w:val="left"/>
        </w:tabs>
        <w:numPr>
          <w:ilvl w:val="0"/>
          <w:numId w:val="34"/>
        </w:numPr>
        <w:rPr>
          <w:rFonts w:ascii="Arial" w:cs="Arial" w:eastAsia="Arial" w:hAnsi="Arial"/>
          <w:sz w:val="13"/>
          <w:szCs w:val="13"/>
          <w:b w:val="1"/>
          <w:bCs w:val="1"/>
          <w:color w:val="auto"/>
        </w:rPr>
      </w:pPr>
      <w:r>
        <w:rPr>
          <w:rFonts w:ascii="Arial" w:cs="Arial" w:eastAsia="Arial" w:hAnsi="Arial"/>
          <w:sz w:val="13"/>
          <w:szCs w:val="13"/>
          <w:color w:val="auto"/>
        </w:rPr>
        <w:t>Pharmacy script volume on an adjusted 30-day equivalent basis of 126 million for 1Q21 increased 4 percent compared to 120 million for 1Q20. The increase was primarily driven by higher individual Medicare Advantage and state-based contracts membership, partially offset by the decline in stand-alone PDP and group Medicare Advantage membership and the impact of early prescription refills in 1Q20 as members prepared for extended supply needs in response to COVID-19 restrictions.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Healthcare Services segment results:</w:t>
      </w:r>
    </w:p>
    <w:p>
      <w:pPr>
        <w:spacing w:after="0" w:line="164" w:lineRule="exact"/>
        <w:rPr>
          <w:sz w:val="20"/>
          <w:szCs w:val="20"/>
          <w:color w:val="auto"/>
        </w:rPr>
      </w:pPr>
    </w:p>
    <w:tbl>
      <w:tblPr>
        <w:tblLayout w:type="fixed"/>
        <w:tblInd w:w="1230" w:type="dxa"/>
        <w:tblCellMar>
          <w:top w:w="0" w:type="dxa"/>
          <w:left w:w="0" w:type="dxa"/>
          <w:bottom w:w="0" w:type="dxa"/>
          <w:right w:w="0" w:type="dxa"/>
        </w:tblCellMar>
      </w:tblPr>
      <w:tr>
        <w:trPr>
          <w:trHeight w:val="108"/>
        </w:trPr>
        <w:tc>
          <w:tcPr>
            <w:tcW w:w="6460" w:type="dxa"/>
            <w:vAlign w:val="bottom"/>
            <w:tcBorders>
              <w:top w:val="single" w:sz="8" w:color="auto"/>
              <w:left w:val="single" w:sz="8" w:color="auto"/>
              <w:right w:val="single" w:sz="8" w:color="auto"/>
            </w:tcBorders>
          </w:tcPr>
          <w:p>
            <w:pPr>
              <w:ind w:left="20"/>
              <w:spacing w:after="0" w:line="108" w:lineRule="exact"/>
              <w:rPr>
                <w:sz w:val="20"/>
                <w:szCs w:val="20"/>
                <w:color w:val="auto"/>
              </w:rPr>
            </w:pPr>
            <w:r>
              <w:rPr>
                <w:rFonts w:ascii="Arial" w:cs="Arial" w:eastAsia="Arial" w:hAnsi="Arial"/>
                <w:sz w:val="10"/>
                <w:szCs w:val="10"/>
                <w:b w:val="1"/>
                <w:bCs w:val="1"/>
                <w:color w:val="auto"/>
              </w:rPr>
              <w:t>Healthcare Services segment results</w:t>
            </w:r>
          </w:p>
        </w:tc>
        <w:tc>
          <w:tcPr>
            <w:tcW w:w="1200" w:type="dxa"/>
            <w:vAlign w:val="bottom"/>
            <w:tcBorders>
              <w:top w:val="single" w:sz="8" w:color="auto"/>
              <w:right w:val="single" w:sz="8" w:color="auto"/>
            </w:tcBorders>
            <w:vMerge w:val="restart"/>
            <w:shd w:val="clear" w:color="auto" w:fill="EAEAEA"/>
          </w:tcPr>
          <w:p>
            <w:pPr>
              <w:jc w:val="right"/>
              <w:ind w:right="426"/>
              <w:spacing w:after="0"/>
              <w:rPr>
                <w:sz w:val="20"/>
                <w:szCs w:val="20"/>
                <w:color w:val="auto"/>
              </w:rPr>
            </w:pPr>
            <w:r>
              <w:rPr>
                <w:rFonts w:ascii="Arial" w:cs="Arial" w:eastAsia="Arial" w:hAnsi="Arial"/>
                <w:sz w:val="11"/>
                <w:szCs w:val="11"/>
                <w:b w:val="1"/>
                <w:bCs w:val="1"/>
                <w:color w:val="auto"/>
              </w:rPr>
              <w:t>1Q21</w:t>
            </w:r>
          </w:p>
        </w:tc>
        <w:tc>
          <w:tcPr>
            <w:tcW w:w="1220" w:type="dxa"/>
            <w:vAlign w:val="bottom"/>
            <w:tcBorders>
              <w:top w:val="single" w:sz="8" w:color="auto"/>
              <w:right w:val="single" w:sz="8" w:color="auto"/>
            </w:tcBorders>
            <w:vMerge w:val="restart"/>
          </w:tcPr>
          <w:p>
            <w:pPr>
              <w:jc w:val="right"/>
              <w:ind w:right="446"/>
              <w:spacing w:after="0"/>
              <w:rPr>
                <w:sz w:val="20"/>
                <w:szCs w:val="20"/>
                <w:color w:val="auto"/>
              </w:rPr>
            </w:pPr>
            <w:r>
              <w:rPr>
                <w:rFonts w:ascii="Arial" w:cs="Arial" w:eastAsia="Arial" w:hAnsi="Arial"/>
                <w:sz w:val="11"/>
                <w:szCs w:val="11"/>
                <w:color w:val="auto"/>
              </w:rPr>
              <w:t>1Q20</w:t>
            </w:r>
          </w:p>
        </w:tc>
        <w:tc>
          <w:tcPr>
            <w:tcW w:w="0" w:type="dxa"/>
            <w:vAlign w:val="bottom"/>
          </w:tcPr>
          <w:p>
            <w:pPr>
              <w:spacing w:after="0"/>
              <w:rPr>
                <w:sz w:val="1"/>
                <w:szCs w:val="1"/>
                <w:color w:val="auto"/>
              </w:rPr>
            </w:pPr>
          </w:p>
        </w:tc>
      </w:tr>
      <w:tr>
        <w:trPr>
          <w:trHeight w:val="135"/>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i w:val="1"/>
                <w:iCs w:val="1"/>
                <w:color w:val="auto"/>
              </w:rPr>
              <w:t>(in millions)</w:t>
            </w:r>
          </w:p>
        </w:tc>
        <w:tc>
          <w:tcPr>
            <w:tcW w:w="1200" w:type="dxa"/>
            <w:vAlign w:val="bottom"/>
            <w:tcBorders>
              <w:bottom w:val="single" w:sz="8" w:color="auto"/>
              <w:right w:val="single" w:sz="8" w:color="auto"/>
            </w:tcBorders>
            <w:vMerge w:val="continue"/>
            <w:shd w:val="clear" w:color="auto" w:fill="EAEAEA"/>
          </w:tcPr>
          <w:p>
            <w:pPr>
              <w:spacing w:after="0"/>
              <w:rPr>
                <w:sz w:val="11"/>
                <w:szCs w:val="11"/>
                <w:color w:val="auto"/>
              </w:rPr>
            </w:pPr>
          </w:p>
        </w:tc>
        <w:tc>
          <w:tcPr>
            <w:tcW w:w="12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GAAP segment earnings</w:t>
            </w:r>
          </w:p>
        </w:tc>
        <w:tc>
          <w:tcPr>
            <w:tcW w:w="12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$269</w:t>
            </w:r>
          </w:p>
        </w:tc>
        <w:tc>
          <w:tcPr>
            <w:tcW w:w="12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33"/>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Depreciation and amortization expense</w:t>
            </w:r>
          </w:p>
        </w:tc>
        <w:tc>
          <w:tcPr>
            <w:tcW w:w="12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45</w:t>
            </w:r>
          </w:p>
        </w:tc>
        <w:tc>
          <w:tcPr>
            <w:tcW w:w="12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33"/>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Interest and taxes</w:t>
            </w:r>
          </w:p>
        </w:tc>
        <w:tc>
          <w:tcPr>
            <w:tcW w:w="12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15</w:t>
            </w:r>
          </w:p>
        </w:tc>
        <w:tc>
          <w:tcPr>
            <w:tcW w:w="12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21</w:t>
            </w:r>
          </w:p>
        </w:tc>
        <w:tc>
          <w:tcPr>
            <w:tcW w:w="0" w:type="dxa"/>
            <w:vAlign w:val="bottom"/>
          </w:tcPr>
          <w:p>
            <w:pPr>
              <w:spacing w:after="0"/>
              <w:rPr>
                <w:sz w:val="1"/>
                <w:szCs w:val="1"/>
                <w:color w:val="auto"/>
              </w:rPr>
            </w:pPr>
          </w:p>
        </w:tc>
      </w:tr>
      <w:tr>
        <w:trPr>
          <w:trHeight w:val="133"/>
        </w:trPr>
        <w:tc>
          <w:tcPr>
            <w:tcW w:w="64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Adjusted EBITDA (c)</w:t>
            </w:r>
          </w:p>
        </w:tc>
        <w:tc>
          <w:tcPr>
            <w:tcW w:w="1200" w:type="dxa"/>
            <w:vAlign w:val="bottom"/>
            <w:tcBorders>
              <w:bottom w:val="single" w:sz="8" w:color="auto"/>
              <w:right w:val="single" w:sz="8" w:color="auto"/>
            </w:tcBorders>
            <w:shd w:val="clear" w:color="auto" w:fill="EAEAEA"/>
          </w:tcPr>
          <w:p>
            <w:pPr>
              <w:jc w:val="right"/>
              <w:ind w:right="6"/>
              <w:spacing w:after="0"/>
              <w:rPr>
                <w:sz w:val="20"/>
                <w:szCs w:val="20"/>
                <w:color w:val="auto"/>
              </w:rPr>
            </w:pPr>
            <w:r>
              <w:rPr>
                <w:rFonts w:ascii="Arial" w:cs="Arial" w:eastAsia="Arial" w:hAnsi="Arial"/>
                <w:sz w:val="11"/>
                <w:szCs w:val="11"/>
                <w:b w:val="1"/>
                <w:bCs w:val="1"/>
                <w:color w:val="auto"/>
              </w:rPr>
              <w:t>$329</w:t>
            </w:r>
          </w:p>
        </w:tc>
        <w:tc>
          <w:tcPr>
            <w:tcW w:w="122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$319</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420" w:hanging="212"/>
        <w:spacing w:after="0" w:line="258" w:lineRule="auto"/>
        <w:tabs>
          <w:tab w:leader="none" w:pos="394" w:val="left"/>
        </w:tabs>
        <w:numPr>
          <w:ilvl w:val="0"/>
          <w:numId w:val="35"/>
        </w:numPr>
        <w:rPr>
          <w:rFonts w:ascii="Arial" w:cs="Arial" w:eastAsia="Arial" w:hAnsi="Arial"/>
          <w:sz w:val="13"/>
          <w:szCs w:val="13"/>
          <w:color w:val="auto"/>
        </w:rPr>
      </w:pPr>
      <w:r>
        <w:rPr>
          <w:rFonts w:ascii="Arial" w:cs="Arial" w:eastAsia="Arial" w:hAnsi="Arial"/>
          <w:sz w:val="13"/>
          <w:szCs w:val="13"/>
          <w:color w:val="auto"/>
        </w:rPr>
        <w:t>The Healthcare Services segment’s 1Q21 GAAP segment earnings increased $19 million, or 8 percent, to $269 million compared to GAAP segment earnings of $250 million in 1Q20. The increase primarily resulted from</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913" w:right="299" w:bottom="1440" w:gutter="0" w:footer="0" w:header="0"/>
        </w:sectPr>
      </w:pPr>
    </w:p>
    <w:bookmarkStart w:id="23" w:name="page24"/>
    <w:bookmarkEnd w:id="23"/>
    <w:p>
      <w:pPr>
        <w:ind w:left="420"/>
        <w:spacing w:after="0"/>
        <w:rPr>
          <w:sz w:val="20"/>
          <w:szCs w:val="20"/>
          <w:color w:val="auto"/>
        </w:rPr>
      </w:pPr>
      <w:r>
        <w:rPr>
          <w:rFonts w:ascii="Arial" w:cs="Arial" w:eastAsia="Arial" w:hAnsi="Arial"/>
          <w:sz w:val="13"/>
          <w:szCs w:val="13"/>
          <w:color w:val="auto"/>
        </w:rPr>
        <w:t>improved operating performance in the provider business as well as higher earnings from equity in affiliates in 1Q21.</w:t>
      </w:r>
    </w:p>
    <w:p>
      <w:pPr>
        <w:spacing w:after="0" w:line="148" w:lineRule="exact"/>
        <w:rPr>
          <w:sz w:val="20"/>
          <w:szCs w:val="20"/>
          <w:color w:val="auto"/>
        </w:rPr>
      </w:pPr>
    </w:p>
    <w:p>
      <w:pPr>
        <w:jc w:val="both"/>
        <w:ind w:left="420"/>
        <w:spacing w:after="0" w:line="251" w:lineRule="auto"/>
        <w:rPr>
          <w:sz w:val="20"/>
          <w:szCs w:val="20"/>
          <w:color w:val="auto"/>
        </w:rPr>
      </w:pPr>
      <w:r>
        <w:rPr>
          <w:rFonts w:ascii="Arial" w:cs="Arial" w:eastAsia="Arial" w:hAnsi="Arial"/>
          <w:sz w:val="13"/>
          <w:szCs w:val="13"/>
          <w:color w:val="auto"/>
        </w:rPr>
        <w:t>Adjusted EBITDA in 1Q21 for the Healthcare Services segment of $329 million was up $10 million, or 3 percent, compared to Adjusted EBITDA of $319 million in 1Q20. The favorable year-over-year comparison of Adjusted EBITDA primarily resulted from the same factors that impacted the quarterly GAAP segment results comparison while excluding the impact of the factors detailed in the table above.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Humana will host a conference call at 9:00 a.m. Eastern time today to discuss its financial results for the quarter and the company’s expectations for future earnings.</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All parties interested in the company’s 1Q21 earnings conference call are invited to dial 888-625-7430. No password is required. The audio-only webcast of the 1Q21 earnings call may be accessed via Humana’s Investor Relations page at humana.com. The company suggests participants for both the conference call and those listening via the web dial in or sign on at least 15 minutes in advance of the call.</w:t>
      </w:r>
    </w:p>
    <w:p>
      <w:pPr>
        <w:spacing w:after="0" w:line="134"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For those unable to participate in the live event, the archive will be available in the Historical Webcasts and Presentations section of the Investor Relations page at humana.com, approximately two hours following the live webcast. Telephone replays will also be available from approximately 12:15 p.m. Eastern time on April 28, 2021 until 10:59 p.m. Eastern time on June 26, 2021 and can be accessed by dialing 855-859-2056 and providing the conference ID #9581139.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929" w:right="29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auto"/>
        </w:rPr>
        <w:t>Footnotes</w:t>
      </w:r>
    </w:p>
    <w:p>
      <w:pPr>
        <w:spacing w:after="0" w:line="19" w:lineRule="exact"/>
        <w:rPr>
          <w:sz w:val="20"/>
          <w:szCs w:val="20"/>
          <w:color w:val="auto"/>
        </w:rPr>
      </w:pPr>
    </w:p>
    <w:p>
      <w:pPr>
        <w:ind w:left="360" w:hanging="206"/>
        <w:spacing w:after="0"/>
        <w:tabs>
          <w:tab w:leader="none" w:pos="360"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1Q21 Adjusted results exclude the following:</w:t>
      </w:r>
    </w:p>
    <w:p>
      <w:pPr>
        <w:spacing w:after="0" w:line="3" w:lineRule="exact"/>
        <w:rPr>
          <w:rFonts w:ascii="Arial" w:cs="Arial" w:eastAsia="Arial" w:hAnsi="Arial"/>
          <w:sz w:val="13"/>
          <w:szCs w:val="13"/>
          <w:color w:val="auto"/>
        </w:rPr>
      </w:pPr>
    </w:p>
    <w:p>
      <w:pPr>
        <w:ind w:left="660" w:right="20" w:hanging="209"/>
        <w:spacing w:after="0" w:line="245" w:lineRule="auto"/>
        <w:tabs>
          <w:tab w:leader="none" w:pos="634" w:val="left"/>
        </w:tabs>
        <w:numPr>
          <w:ilvl w:val="2"/>
          <w:numId w:val="36"/>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$15 million pretax, or $0.08 per diluted common share; GAAP measures affected in this release include consolidated pretax, EPS, and segment earnings (for respective amortization expense for the Retail and Group and Specialty segments).</w:t>
      </w:r>
    </w:p>
    <w:p>
      <w:pPr>
        <w:ind w:left="660" w:right="220" w:hanging="209"/>
        <w:spacing w:after="0" w:line="245" w:lineRule="auto"/>
        <w:tabs>
          <w:tab w:leader="none" w:pos="634" w:val="left"/>
        </w:tabs>
        <w:numPr>
          <w:ilvl w:val="2"/>
          <w:numId w:val="36"/>
        </w:numPr>
        <w:rPr>
          <w:rFonts w:ascii="Arial" w:cs="Arial" w:eastAsia="Arial" w:hAnsi="Arial"/>
          <w:sz w:val="13"/>
          <w:szCs w:val="13"/>
          <w:color w:val="auto"/>
        </w:rPr>
      </w:pPr>
      <w:r>
        <w:rPr>
          <w:rFonts w:ascii="Arial" w:cs="Arial" w:eastAsia="Arial" w:hAnsi="Arial"/>
          <w:sz w:val="13"/>
          <w:szCs w:val="13"/>
          <w:color w:val="auto"/>
        </w:rPr>
        <w:t>Put/call valuation adjustments of approximately $115 million, or $0.69 per diluted common share, associated with Humana’s non-consolidating minority interest investments. GAAP measures affected in this release include consolidated pretax and EPS.</w:t>
      </w:r>
    </w:p>
    <w:p>
      <w:pPr>
        <w:ind w:left="640" w:right="20" w:hanging="216"/>
        <w:spacing w:after="0" w:line="248" w:lineRule="auto"/>
        <w:tabs>
          <w:tab w:leader="none" w:pos="614" w:val="left"/>
        </w:tabs>
        <w:numPr>
          <w:ilvl w:val="1"/>
          <w:numId w:val="36"/>
        </w:numPr>
        <w:rPr>
          <w:rFonts w:ascii="Arial" w:cs="Arial" w:eastAsia="Arial" w:hAnsi="Arial"/>
          <w:sz w:val="13"/>
          <w:szCs w:val="13"/>
          <w:color w:val="auto"/>
        </w:rPr>
      </w:pPr>
      <w:r>
        <w:rPr>
          <w:rFonts w:ascii="Arial" w:cs="Arial" w:eastAsia="Arial" w:hAnsi="Arial"/>
          <w:sz w:val="13"/>
          <w:szCs w:val="13"/>
          <w:color w:val="auto"/>
        </w:rPr>
        <w:t>Change in fair market value of publicly-traded equity securities of $85 million, or $0.51 per diluted common share. Humana adjusts for the market gains and losses of its publicly-traded equity investments (primarily Oak Street Health, Inc.) each period because while investments are strategic decisions for the company, management's measure of performance is primarily focused on operational results rather than fair value of such investments. Also, management does not forecast changes in fair value of its equity investments. Accordingly, the company believes it is useful to adjust GAAP EPS for the market gains and losses of publicly-traded equity securities. GAAP measures affected in this release include consolidated pretax, EPS, and consolidated revenues.</w:t>
      </w:r>
    </w:p>
    <w:p>
      <w:pPr>
        <w:spacing w:after="0" w:line="154" w:lineRule="exact"/>
        <w:rPr>
          <w:rFonts w:ascii="Arial" w:cs="Arial" w:eastAsia="Arial" w:hAnsi="Arial"/>
          <w:sz w:val="13"/>
          <w:szCs w:val="13"/>
          <w:color w:val="auto"/>
        </w:rPr>
      </w:pPr>
    </w:p>
    <w:p>
      <w:pPr>
        <w:ind w:left="360" w:hanging="206"/>
        <w:spacing w:after="0"/>
        <w:tabs>
          <w:tab w:leader="none" w:pos="360"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1Q20 Adjusted results exclude the following:</w:t>
      </w:r>
    </w:p>
    <w:p>
      <w:pPr>
        <w:spacing w:after="0" w:line="3" w:lineRule="exact"/>
        <w:rPr>
          <w:rFonts w:ascii="Arial" w:cs="Arial" w:eastAsia="Arial" w:hAnsi="Arial"/>
          <w:sz w:val="13"/>
          <w:szCs w:val="13"/>
          <w:color w:val="auto"/>
        </w:rPr>
      </w:pPr>
    </w:p>
    <w:p>
      <w:pPr>
        <w:ind w:left="700" w:right="780" w:hanging="222"/>
        <w:spacing w:after="0" w:line="245" w:lineRule="auto"/>
        <w:tabs>
          <w:tab w:leader="none" w:pos="674" w:val="left"/>
        </w:tabs>
        <w:numPr>
          <w:ilvl w:val="3"/>
          <w:numId w:val="36"/>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$21 million pretax, or $0.12 per diluted common share; GAAP measures affected in this release include consolidated pretax, EPS, and segment earnings (for respective amortization expense for the Retail and Group and Specialty segments).</w:t>
      </w:r>
    </w:p>
    <w:p>
      <w:pPr>
        <w:ind w:left="700" w:right="200" w:hanging="222"/>
        <w:spacing w:after="0" w:line="258" w:lineRule="auto"/>
        <w:tabs>
          <w:tab w:leader="none" w:pos="674" w:val="left"/>
        </w:tabs>
        <w:numPr>
          <w:ilvl w:val="3"/>
          <w:numId w:val="36"/>
        </w:numPr>
        <w:rPr>
          <w:rFonts w:ascii="Arial" w:cs="Arial" w:eastAsia="Arial" w:hAnsi="Arial"/>
          <w:sz w:val="13"/>
          <w:szCs w:val="13"/>
          <w:color w:val="auto"/>
        </w:rPr>
      </w:pPr>
      <w:r>
        <w:rPr>
          <w:rFonts w:ascii="Arial" w:cs="Arial" w:eastAsia="Arial" w:hAnsi="Arial"/>
          <w:sz w:val="13"/>
          <w:szCs w:val="13"/>
          <w:color w:val="auto"/>
        </w:rPr>
        <w:t>Put/call valuation adjustments of approximately $297 million, or $1.72 per diluted common share, associated with Humana’s non-consolidating minority interest investments. GAAP measures affected in this release include consolidated pretax and EPS.</w:t>
      </w:r>
    </w:p>
    <w:p>
      <w:pPr>
        <w:spacing w:after="0" w:line="146" w:lineRule="exact"/>
        <w:rPr>
          <w:rFonts w:ascii="Arial" w:cs="Arial" w:eastAsia="Arial" w:hAnsi="Arial"/>
          <w:sz w:val="13"/>
          <w:szCs w:val="13"/>
          <w:color w:val="auto"/>
        </w:rPr>
      </w:pPr>
    </w:p>
    <w:p>
      <w:pPr>
        <w:jc w:val="both"/>
        <w:ind w:left="380" w:hanging="226"/>
        <w:spacing w:after="0" w:line="249" w:lineRule="auto"/>
        <w:tabs>
          <w:tab w:leader="none" w:pos="364"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Healthcare Services segment Adjusted earnings before interest, taxes, depreciation and amortization (Adjusted EBITDA) includes GAAP segment earnings with adjustments to add back depreciation and amortization expense, interest expense, and income taxes. The Adjusted EBITDA includes results from all lines of business within the segment. The Adjusted EBITDA also includes the impact of Humana’s 40 percent minority interest in Kindred at Home and the strategic partnership with Welsh, Carson, Anderson &amp; Stowe (WCAS) to develop and operate senior-focused, payor-agnostic, primary care centers.</w:t>
      </w:r>
    </w:p>
    <w:p>
      <w:pPr>
        <w:spacing w:after="0" w:line="153" w:lineRule="exact"/>
        <w:rPr>
          <w:rFonts w:ascii="Arial" w:cs="Arial" w:eastAsia="Arial" w:hAnsi="Arial"/>
          <w:sz w:val="13"/>
          <w:szCs w:val="13"/>
          <w:color w:val="auto"/>
        </w:rPr>
      </w:pPr>
    </w:p>
    <w:p>
      <w:pPr>
        <w:ind w:left="360" w:hanging="206"/>
        <w:spacing w:after="0"/>
        <w:tabs>
          <w:tab w:leader="none" w:pos="360"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FY 2021 Adjusted EPS projections exclude the following:</w:t>
      </w:r>
    </w:p>
    <w:p>
      <w:pPr>
        <w:spacing w:after="0" w:line="4" w:lineRule="exact"/>
        <w:rPr>
          <w:sz w:val="20"/>
          <w:szCs w:val="20"/>
          <w:color w:val="auto"/>
        </w:rPr>
      </w:pPr>
    </w:p>
    <w:p>
      <w:pPr>
        <w:ind w:left="400" w:hanging="192"/>
        <w:spacing w:after="0"/>
        <w:tabs>
          <w:tab w:leader="none" w:pos="4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~$0.43 per diluted common share.</w:t>
      </w:r>
    </w:p>
    <w:p>
      <w:pPr>
        <w:spacing w:after="0" w:line="3" w:lineRule="exact"/>
        <w:rPr>
          <w:rFonts w:ascii="Arial" w:cs="Arial" w:eastAsia="Arial" w:hAnsi="Arial"/>
          <w:sz w:val="13"/>
          <w:szCs w:val="13"/>
          <w:color w:val="auto"/>
        </w:rPr>
      </w:pPr>
    </w:p>
    <w:p>
      <w:pPr>
        <w:ind w:left="420" w:right="40" w:hanging="212"/>
        <w:spacing w:after="0" w:line="245" w:lineRule="auto"/>
        <w:tabs>
          <w:tab w:leader="none" w:pos="394" w:val="left"/>
        </w:tabs>
        <w:numPr>
          <w:ilvl w:val="0"/>
          <w:numId w:val="37"/>
        </w:numPr>
        <w:rPr>
          <w:rFonts w:ascii="Arial" w:cs="Arial" w:eastAsia="Arial" w:hAnsi="Arial"/>
          <w:sz w:val="13"/>
          <w:szCs w:val="13"/>
          <w:color w:val="auto"/>
        </w:rPr>
      </w:pPr>
      <w:r>
        <w:rPr>
          <w:rFonts w:ascii="Arial" w:cs="Arial" w:eastAsia="Arial" w:hAnsi="Arial"/>
          <w:sz w:val="13"/>
          <w:szCs w:val="13"/>
          <w:color w:val="auto"/>
        </w:rPr>
        <w:t>Put/call valuation adjustments of $0.69 per diluted common share related to Humana’s non-consolidating minority interest investments. FY 2021 GAAP EPS guidance excludes the impact of future value changes of these put/call options as the future value changes cannot be estimated.</w:t>
      </w:r>
    </w:p>
    <w:p>
      <w:pPr>
        <w:ind w:left="420" w:right="220" w:hanging="212"/>
        <w:spacing w:after="0" w:line="258" w:lineRule="auto"/>
        <w:tabs>
          <w:tab w:leader="none" w:pos="394" w:val="left"/>
        </w:tabs>
        <w:numPr>
          <w:ilvl w:val="0"/>
          <w:numId w:val="37"/>
        </w:numPr>
        <w:rPr>
          <w:rFonts w:ascii="Arial" w:cs="Arial" w:eastAsia="Arial" w:hAnsi="Arial"/>
          <w:sz w:val="13"/>
          <w:szCs w:val="13"/>
          <w:color w:val="auto"/>
        </w:rPr>
      </w:pPr>
      <w:r>
        <w:rPr>
          <w:rFonts w:ascii="Arial" w:cs="Arial" w:eastAsia="Arial" w:hAnsi="Arial"/>
          <w:sz w:val="13"/>
          <w:szCs w:val="13"/>
          <w:color w:val="auto"/>
        </w:rPr>
        <w:t>Change in the fair market value of equity securities of $0.51 per diluted common share. The future value of publicly-traded equity securities, their impact on GAAP EPS, and the related non-GAAP adjustment will fluctuate on the public trading value of the stock. The guidance set forth herein assumes no further change in the fair value of these investments.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 FY 2020 Adjusted results exclude the following:</w:t>
      </w:r>
    </w:p>
    <w:p>
      <w:pPr>
        <w:ind w:left="380" w:right="4940" w:hanging="172"/>
        <w:spacing w:after="0" w:line="245" w:lineRule="auto"/>
        <w:tabs>
          <w:tab w:leader="none" w:pos="301" w:val="left"/>
        </w:tabs>
        <w:numPr>
          <w:ilvl w:val="0"/>
          <w:numId w:val="38"/>
        </w:numPr>
        <w:rPr>
          <w:rFonts w:ascii="Arial" w:cs="Arial" w:eastAsia="Arial" w:hAnsi="Arial"/>
          <w:sz w:val="13"/>
          <w:szCs w:val="13"/>
          <w:color w:val="auto"/>
        </w:rPr>
      </w:pPr>
      <w:r>
        <w:rPr>
          <w:rFonts w:ascii="Arial" w:cs="Arial" w:eastAsia="Arial" w:hAnsi="Arial"/>
          <w:sz w:val="13"/>
          <w:szCs w:val="13"/>
          <w:color w:val="auto"/>
        </w:rPr>
        <w:t>Amortization expense for identifiable intangibles of approximately $88 million pretax, or $0.51 per diluted common share.</w:t>
      </w:r>
    </w:p>
    <w:p>
      <w:pPr>
        <w:ind w:left="380" w:right="5360" w:hanging="172"/>
        <w:spacing w:after="0" w:line="245" w:lineRule="auto"/>
        <w:tabs>
          <w:tab w:leader="none" w:pos="301" w:val="left"/>
        </w:tabs>
        <w:numPr>
          <w:ilvl w:val="0"/>
          <w:numId w:val="38"/>
        </w:numPr>
        <w:rPr>
          <w:rFonts w:ascii="Arial" w:cs="Arial" w:eastAsia="Arial" w:hAnsi="Arial"/>
          <w:sz w:val="13"/>
          <w:szCs w:val="13"/>
          <w:color w:val="auto"/>
        </w:rPr>
      </w:pPr>
      <w:r>
        <w:rPr>
          <w:rFonts w:ascii="Arial" w:cs="Arial" w:eastAsia="Arial" w:hAnsi="Arial"/>
          <w:sz w:val="13"/>
          <w:szCs w:val="13"/>
          <w:color w:val="auto"/>
        </w:rPr>
        <w:t>Put/call valuation adjustments of approximately $103 million, or $0.60 per diluted common share, associated with Humana's non-consolidating minority interest investments.</w:t>
      </w:r>
    </w:p>
    <w:p>
      <w:pPr>
        <w:ind w:left="380" w:right="4820" w:hanging="172"/>
        <w:spacing w:after="0" w:line="248" w:lineRule="auto"/>
        <w:tabs>
          <w:tab w:leader="none" w:pos="301" w:val="left"/>
        </w:tabs>
        <w:numPr>
          <w:ilvl w:val="0"/>
          <w:numId w:val="38"/>
        </w:numPr>
        <w:rPr>
          <w:rFonts w:ascii="Arial" w:cs="Arial" w:eastAsia="Arial" w:hAnsi="Arial"/>
          <w:sz w:val="13"/>
          <w:szCs w:val="13"/>
          <w:color w:val="auto"/>
        </w:rPr>
      </w:pPr>
      <w:r>
        <w:rPr>
          <w:rFonts w:ascii="Arial" w:cs="Arial" w:eastAsia="Arial" w:hAnsi="Arial"/>
          <w:sz w:val="13"/>
          <w:szCs w:val="13"/>
          <w:color w:val="auto"/>
        </w:rPr>
        <w:t>Change in fair market value of publicly-traded equity securities of $745 million, or $4.32 per diluted common share. Humana adjusts for the market gains and losses of its publicly-traded equity investments (primarily Oak Street Health, Inc.) each period because while investments are strategic decisions for the company, management's measure of performance is primarily focused on operational results rather than fair value of such investments. Also, management does not forecast changes in fair value of its equity investments. Accordingly, the company believes it is useful to adjust GAAP EPS for the market gains and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0"/>
          </w:cols>
          <w:pgMar w:left="300" w:top="769" w:right="299" w:bottom="1440" w:gutter="0" w:footer="0" w:header="0"/>
        </w:sectPr>
      </w:pPr>
    </w:p>
    <w:bookmarkStart w:id="25" w:name="page26"/>
    <w:bookmarkEnd w:id="25"/>
    <w:p>
      <w:pPr>
        <w:ind w:left="380"/>
        <w:spacing w:after="0"/>
        <w:rPr>
          <w:sz w:val="20"/>
          <w:szCs w:val="20"/>
          <w:color w:val="auto"/>
        </w:rPr>
      </w:pPr>
      <w:r>
        <w:rPr>
          <w:rFonts w:ascii="Arial" w:cs="Arial" w:eastAsia="Arial" w:hAnsi="Arial"/>
          <w:sz w:val="13"/>
          <w:szCs w:val="13"/>
          <w:color w:val="auto"/>
        </w:rPr>
        <w:t>losses of publicly-traded equity securities.</w:t>
      </w:r>
    </w:p>
    <w:p>
      <w:pPr>
        <w:spacing w:after="0" w:line="4" w:lineRule="exact"/>
        <w:rPr>
          <w:sz w:val="20"/>
          <w:szCs w:val="20"/>
          <w:color w:val="auto"/>
        </w:rPr>
      </w:pPr>
    </w:p>
    <w:p>
      <w:pPr>
        <w:ind w:left="380" w:right="4740" w:hanging="172"/>
        <w:spacing w:after="0" w:line="251" w:lineRule="auto"/>
        <w:tabs>
          <w:tab w:leader="none" w:pos="301" w:val="left"/>
        </w:tabs>
        <w:numPr>
          <w:ilvl w:val="0"/>
          <w:numId w:val="39"/>
        </w:numPr>
        <w:rPr>
          <w:rFonts w:ascii="Arial" w:cs="Arial" w:eastAsia="Arial" w:hAnsi="Arial"/>
          <w:sz w:val="13"/>
          <w:szCs w:val="13"/>
          <w:color w:val="auto"/>
        </w:rPr>
      </w:pPr>
      <w:r>
        <w:rPr>
          <w:rFonts w:ascii="Arial" w:cs="Arial" w:eastAsia="Arial" w:hAnsi="Arial"/>
          <w:sz w:val="13"/>
          <w:szCs w:val="13"/>
          <w:color w:val="auto"/>
        </w:rPr>
        <w:t>Net adjustment of $578 million, or $3.35 per diluted common share, related to the receipt of unpaid risk corridor payments associated with the losses incurred by the company under the ACA business from 2014 to 2016 (previously written off).</w:t>
      </w:r>
    </w:p>
    <w:p>
      <w:pPr>
        <w:spacing w:after="0" w:line="152" w:lineRule="exact"/>
        <w:rPr>
          <w:sz w:val="20"/>
          <w:szCs w:val="20"/>
          <w:color w:val="auto"/>
        </w:rPr>
      </w:pPr>
    </w:p>
    <w:p>
      <w:pPr>
        <w:ind w:left="160" w:hanging="6"/>
        <w:spacing w:after="0" w:line="258" w:lineRule="auto"/>
        <w:tabs>
          <w:tab w:leader="none" w:pos="321"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company provides a full range of insured specialty products including dental, vision, and life insurance benefits marketed to individuals and groups. Members included in these products may not be unique to each product since members have the ability to enroll in multiple products.</w:t>
      </w:r>
    </w:p>
    <w:p>
      <w:pPr>
        <w:spacing w:after="0" w:line="146" w:lineRule="exact"/>
        <w:rPr>
          <w:rFonts w:ascii="Arial" w:cs="Arial" w:eastAsia="Arial" w:hAnsi="Arial"/>
          <w:sz w:val="13"/>
          <w:szCs w:val="13"/>
          <w:color w:val="auto"/>
        </w:rPr>
      </w:pPr>
    </w:p>
    <w:p>
      <w:pPr>
        <w:jc w:val="both"/>
        <w:ind w:left="160" w:hanging="6"/>
        <w:spacing w:after="0" w:line="249" w:lineRule="auto"/>
        <w:tabs>
          <w:tab w:leader="none" w:pos="358"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Includes Medicare Advantage (including Special Needs Plans (SNP)) and dual-eligible demonstration program members enrolled in one of Humana’s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Cautionary Statement</w:t>
      </w:r>
    </w:p>
    <w:p>
      <w:pPr>
        <w:spacing w:after="0" w:line="182" w:lineRule="exact"/>
        <w:rPr>
          <w:sz w:val="20"/>
          <w:szCs w:val="20"/>
          <w:color w:val="auto"/>
        </w:rPr>
      </w:pPr>
    </w:p>
    <w:p>
      <w:pPr>
        <w:ind w:left="200" w:right="220"/>
        <w:spacing w:after="0" w:line="245" w:lineRule="auto"/>
        <w:rPr>
          <w:sz w:val="20"/>
          <w:szCs w:val="20"/>
          <w:color w:val="auto"/>
        </w:rPr>
      </w:pPr>
      <w:r>
        <w:rPr>
          <w:rFonts w:ascii="Arial" w:cs="Arial" w:eastAsia="Arial" w:hAnsi="Arial"/>
          <w:sz w:val="13"/>
          <w:szCs w:val="13"/>
          <w:color w:val="auto"/>
        </w:rPr>
        <w:t>This news release includes forward-looking statements regarding Humana within the meaning of the Private Securities Litigation Reform Act of 1995. When used in investor presentations, press releases, Securities and Exchange Commission (SEC) filings, and in oral statements made by or with the approval of one of Humana’s executive officers, the words or phrases like “expects,” “believes,” “anticipates,” “intends,” “likely will result,” “estimates,” “projects” or variations of such words and similar expressions are intended to identify such forward-looking statements.</w:t>
      </w:r>
    </w:p>
    <w:p>
      <w:pPr>
        <w:spacing w:after="0" w:line="2" w:lineRule="exact"/>
        <w:rPr>
          <w:sz w:val="20"/>
          <w:szCs w:val="20"/>
          <w:color w:val="auto"/>
        </w:rPr>
      </w:pPr>
    </w:p>
    <w:p>
      <w:pPr>
        <w:ind w:left="200" w:right="200"/>
        <w:spacing w:after="0" w:line="258" w:lineRule="auto"/>
        <w:rPr>
          <w:sz w:val="20"/>
          <w:szCs w:val="20"/>
          <w:color w:val="auto"/>
        </w:rPr>
      </w:pPr>
      <w:r>
        <w:rPr>
          <w:rFonts w:ascii="Arial" w:cs="Arial" w:eastAsia="Arial" w:hAnsi="Arial"/>
          <w:sz w:val="13"/>
          <w:szCs w:val="13"/>
          <w:color w:val="auto"/>
        </w:rPr>
        <w:t>These forward-looking statements are not guarantees of future performance and are subject to risks, uncertainties, and assumptions, including, among other things, information set forth in the “Risk Factors” section of the company’s SEC filings, a summary of which includes but is not limited to the following:</w:t>
      </w:r>
    </w:p>
    <w:p>
      <w:pPr>
        <w:spacing w:after="0" w:line="12" w:lineRule="exact"/>
        <w:rPr>
          <w:sz w:val="20"/>
          <w:szCs w:val="20"/>
          <w:color w:val="auto"/>
        </w:rPr>
      </w:pPr>
    </w:p>
    <w:p>
      <w:pPr>
        <w:ind w:left="860" w:right="80" w:hanging="220"/>
        <w:spacing w:after="0" w:line="245" w:lineRule="auto"/>
        <w:tabs>
          <w:tab w:leader="none" w:pos="834" w:val="left"/>
        </w:tabs>
        <w:numPr>
          <w:ilvl w:val="0"/>
          <w:numId w:val="41"/>
        </w:numPr>
        <w:rPr>
          <w:rFonts w:ascii="Arial" w:cs="Arial" w:eastAsia="Arial" w:hAnsi="Arial"/>
          <w:sz w:val="13"/>
          <w:szCs w:val="13"/>
          <w:color w:val="auto"/>
        </w:rPr>
      </w:pPr>
      <w:r>
        <w:rPr>
          <w:rFonts w:ascii="Arial" w:cs="Arial" w:eastAsia="Arial" w:hAnsi="Arial"/>
          <w:sz w:val="13"/>
          <w:szCs w:val="13"/>
          <w:color w:val="auto"/>
        </w:rPr>
        <w:t>If Humana does not design and price its products properly and competitively, if the premiums Humana receives are insufficient to cover the cost of healthcare services delivered to its members, if the company is unable to implement clinical initiatives to provide a better healthcare experience for its members, lower costs and appropriately document the risk profile of its members, or if its estimates of benefits expense are inadequate, Humana’s profitability could be materially adversely affected. Humana estimates the costs of its benefit expense payments, and designs and prices its products accordingly, using actuarial methods and assumptions based upon, among other relevant factors, claim payment patterns, medical cost inflation, and historical developments such as claim inventory levels and claim receipt patterns. The company continually reviews estimates of future payments relating to benefit expenses for services incurred in the current and prior periods and makes necessary adjustments to its reserves, including premium deficiency reserves, where appropriate. These estimates involve extensive judgment, and have considerable inherent variability because they are extremely sensitive to changes in claim payment patterns and medical cost trends. Accordingly, Humana's reserves may be insufficient.</w:t>
      </w:r>
    </w:p>
    <w:p>
      <w:pPr>
        <w:spacing w:after="0" w:line="3" w:lineRule="exact"/>
        <w:rPr>
          <w:rFonts w:ascii="Arial" w:cs="Arial" w:eastAsia="Arial" w:hAnsi="Arial"/>
          <w:sz w:val="13"/>
          <w:szCs w:val="13"/>
          <w:color w:val="auto"/>
        </w:rPr>
      </w:pPr>
    </w:p>
    <w:p>
      <w:pPr>
        <w:jc w:val="both"/>
        <w:ind w:left="860" w:right="160" w:hanging="220"/>
        <w:spacing w:after="0" w:line="245" w:lineRule="auto"/>
        <w:tabs>
          <w:tab w:leader="none" w:pos="834" w:val="left"/>
        </w:tabs>
        <w:numPr>
          <w:ilvl w:val="0"/>
          <w:numId w:val="41"/>
        </w:numPr>
        <w:rPr>
          <w:rFonts w:ascii="Arial" w:cs="Arial" w:eastAsia="Arial" w:hAnsi="Arial"/>
          <w:sz w:val="13"/>
          <w:szCs w:val="13"/>
          <w:color w:val="auto"/>
        </w:rPr>
      </w:pPr>
      <w:r>
        <w:rPr>
          <w:rFonts w:ascii="Arial" w:cs="Arial" w:eastAsia="Arial" w:hAnsi="Arial"/>
          <w:sz w:val="13"/>
          <w:szCs w:val="13"/>
          <w:color w:val="auto"/>
        </w:rPr>
        <w:t>If Humana fails to effectively implement its operational and strategic initiatives, particularly its Medicare initiatives and state-based contract strategy, the company’s business may be materially adversely affected, which is of particular importance given the concentration of the company’s revenues in these products. In addition, there can be no assurances that the company will be successful in maintaining or improving its Star ratings in future years.</w:t>
      </w:r>
    </w:p>
    <w:p>
      <w:pPr>
        <w:spacing w:after="0" w:line="1" w:lineRule="exact"/>
        <w:rPr>
          <w:rFonts w:ascii="Arial" w:cs="Arial" w:eastAsia="Arial" w:hAnsi="Arial"/>
          <w:sz w:val="13"/>
          <w:szCs w:val="13"/>
          <w:color w:val="auto"/>
        </w:rPr>
      </w:pPr>
    </w:p>
    <w:p>
      <w:pPr>
        <w:ind w:left="860" w:right="260" w:hanging="220"/>
        <w:spacing w:after="0" w:line="251" w:lineRule="auto"/>
        <w:tabs>
          <w:tab w:leader="none" w:pos="834" w:val="left"/>
        </w:tabs>
        <w:numPr>
          <w:ilvl w:val="0"/>
          <w:numId w:val="41"/>
        </w:numPr>
        <w:rPr>
          <w:rFonts w:ascii="Arial" w:cs="Arial" w:eastAsia="Arial" w:hAnsi="Arial"/>
          <w:sz w:val="13"/>
          <w:szCs w:val="13"/>
          <w:color w:val="auto"/>
        </w:rPr>
      </w:pPr>
      <w:r>
        <w:rPr>
          <w:rFonts w:ascii="Arial" w:cs="Arial" w:eastAsia="Arial" w:hAnsi="Arial"/>
          <w:sz w:val="13"/>
          <w:szCs w:val="13"/>
          <w:color w:val="auto"/>
        </w:rPr>
        <w:t>If Humana fails to properly maintain the integrity of its data, to strategically maintain existing or implement new information systems, to protect Humana’s proprietary rights to its systems, or to defend against cyber-security attacks or prevent other privacy or data security incidents that result in security breaches that disrupt our operations or in the unintended dissemination of sensitive personal</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0"/>
          </w:cols>
          <w:pgMar w:left="300" w:top="785" w:right="299" w:bottom="1440" w:gutter="0" w:footer="0" w:header="0"/>
        </w:sectPr>
      </w:pPr>
    </w:p>
    <w:bookmarkStart w:id="26" w:name="page27"/>
    <w:bookmarkEnd w:id="26"/>
    <w:p>
      <w:pPr>
        <w:ind w:left="220"/>
        <w:spacing w:after="0"/>
        <w:rPr>
          <w:sz w:val="20"/>
          <w:szCs w:val="20"/>
          <w:color w:val="auto"/>
        </w:rPr>
      </w:pPr>
      <w:r>
        <w:rPr>
          <w:rFonts w:ascii="Arial" w:cs="Arial" w:eastAsia="Arial" w:hAnsi="Arial"/>
          <w:sz w:val="13"/>
          <w:szCs w:val="13"/>
          <w:color w:val="auto"/>
        </w:rPr>
        <w:t>information or proprietary or confidential information, the company’s business may be materially adversely affected.</w:t>
      </w:r>
    </w:p>
    <w:p>
      <w:pPr>
        <w:spacing w:after="0" w:line="4" w:lineRule="exact"/>
        <w:rPr>
          <w:sz w:val="20"/>
          <w:szCs w:val="20"/>
          <w:color w:val="auto"/>
        </w:rPr>
      </w:pPr>
    </w:p>
    <w:p>
      <w:pPr>
        <w:ind w:left="220" w:right="120" w:hanging="220"/>
        <w:spacing w:after="0" w:line="245" w:lineRule="auto"/>
        <w:tabs>
          <w:tab w:leader="none" w:pos="194" w:val="left"/>
        </w:tabs>
        <w:numPr>
          <w:ilvl w:val="0"/>
          <w:numId w:val="42"/>
        </w:numPr>
        <w:rPr>
          <w:rFonts w:ascii="Arial" w:cs="Arial" w:eastAsia="Arial" w:hAnsi="Arial"/>
          <w:sz w:val="13"/>
          <w:szCs w:val="13"/>
          <w:color w:val="auto"/>
        </w:rPr>
      </w:pPr>
      <w:r>
        <w:rPr>
          <w:rFonts w:ascii="Arial" w:cs="Arial" w:eastAsia="Arial" w:hAnsi="Arial"/>
          <w:sz w:val="13"/>
          <w:szCs w:val="13"/>
          <w:color w:val="auto"/>
        </w:rPr>
        <w:t>Humana is involved in various legal actions, or disputes that could lead to legal actions (such as, among other things, provider contract disputes and qui tam litigation brought by individuals on behalf of the government), governmental and internal investigations, and routine internal review of business processes any of which, if resolved unfavorably to the company, could result in substantial monetary damages or changes in its business practices. Increased litigation and negative publicity could also increase the company’s cost of doing business.</w:t>
      </w:r>
    </w:p>
    <w:p>
      <w:pPr>
        <w:spacing w:after="0" w:line="1" w:lineRule="exact"/>
        <w:rPr>
          <w:rFonts w:ascii="Arial" w:cs="Arial" w:eastAsia="Arial" w:hAnsi="Arial"/>
          <w:sz w:val="13"/>
          <w:szCs w:val="13"/>
          <w:color w:val="auto"/>
        </w:rPr>
      </w:pPr>
    </w:p>
    <w:p>
      <w:pPr>
        <w:ind w:left="220" w:right="100" w:hanging="220"/>
        <w:spacing w:after="0" w:line="245" w:lineRule="auto"/>
        <w:tabs>
          <w:tab w:leader="none" w:pos="194" w:val="left"/>
        </w:tabs>
        <w:numPr>
          <w:ilvl w:val="0"/>
          <w:numId w:val="42"/>
        </w:numPr>
        <w:rPr>
          <w:rFonts w:ascii="Arial" w:cs="Arial" w:eastAsia="Arial" w:hAnsi="Arial"/>
          <w:sz w:val="13"/>
          <w:szCs w:val="13"/>
          <w:color w:val="auto"/>
        </w:rPr>
      </w:pPr>
      <w:r>
        <w:rPr>
          <w:rFonts w:ascii="Arial" w:cs="Arial" w:eastAsia="Arial" w:hAnsi="Arial"/>
          <w:sz w:val="13"/>
          <w:szCs w:val="13"/>
          <w:color w:val="auto"/>
        </w:rPr>
        <w:t>As a government contractor, Humana is exposed to risks that may materially adversely affect its business or its willingness or ability to participate in government healthcare programs including, among other things, loss of material government contracts, governmental audits and investigations, potential inadequacy of government determined payment rates, potential restrictions on profitability, including by comparison of profitability of the company’s Medicare Advantage business to non-Medicare Advantage business, or other changes in the governmental programs in which Humana participates. Changes to the risk-adjustment model utilized by CMS to adjust premiums paid to Medicare Advantage, or MA, plans according to the health status of covered members, including proposed changes to the methodology used by CMS for risk adjustment data validation audits that fail to address adequately the statutory requirement of actuarial equivalence, if implemented, could have a material adverse effect on our operating results, financial position and cash flows.</w:t>
      </w:r>
    </w:p>
    <w:p>
      <w:pPr>
        <w:spacing w:after="0" w:line="2" w:lineRule="exact"/>
        <w:rPr>
          <w:rFonts w:ascii="Arial" w:cs="Arial" w:eastAsia="Arial" w:hAnsi="Arial"/>
          <w:sz w:val="13"/>
          <w:szCs w:val="13"/>
          <w:color w:val="auto"/>
        </w:rPr>
      </w:pPr>
    </w:p>
    <w:p>
      <w:pPr>
        <w:ind w:left="220" w:right="20" w:hanging="220"/>
        <w:spacing w:after="0" w:line="245" w:lineRule="auto"/>
        <w:tabs>
          <w:tab w:leader="none" w:pos="194" w:val="left"/>
        </w:tabs>
        <w:numPr>
          <w:ilvl w:val="0"/>
          <w:numId w:val="42"/>
        </w:numPr>
        <w:rPr>
          <w:rFonts w:ascii="Arial" w:cs="Arial" w:eastAsia="Arial" w:hAnsi="Arial"/>
          <w:sz w:val="13"/>
          <w:szCs w:val="13"/>
          <w:color w:val="auto"/>
        </w:rPr>
      </w:pPr>
      <w:r>
        <w:rPr>
          <w:rFonts w:ascii="Arial" w:cs="Arial" w:eastAsia="Arial" w:hAnsi="Arial"/>
          <w:sz w:val="13"/>
          <w:szCs w:val="13"/>
          <w:color w:val="auto"/>
        </w:rPr>
        <w:t>Humana's business activities are subject to substantial government regulation. New laws or regulations, or legislative, judicial, or regulatory changes in existing laws or regulations or their manner of application could increase the company's cost of doing business and have a material adverse effect on Humana’s results of operations (including restricting revenue, enrollment and premium growth in certain products and market segments, restricting the company’s ability to expand into new markets, increasing the company’s medical and operating costs by, among other things, requiring a minimum benefit ratio on insured products, lowering the company’s Medicare payment rates and increasing the company’s expenses associated with a non-deductible health insurance industry fee and other assessments); the company’s financial position (including the company’s ability to maintain the value of its goodwill); and the company’s cash flows.</w:t>
      </w:r>
    </w:p>
    <w:p>
      <w:pPr>
        <w:spacing w:after="0" w:line="2" w:lineRule="exact"/>
        <w:rPr>
          <w:rFonts w:ascii="Arial" w:cs="Arial" w:eastAsia="Arial" w:hAnsi="Arial"/>
          <w:sz w:val="13"/>
          <w:szCs w:val="13"/>
          <w:color w:val="auto"/>
        </w:rPr>
      </w:pPr>
    </w:p>
    <w:p>
      <w:pPr>
        <w:ind w:left="220" w:right="220" w:hanging="220"/>
        <w:spacing w:after="0" w:line="245" w:lineRule="auto"/>
        <w:tabs>
          <w:tab w:leader="none" w:pos="194" w:val="left"/>
        </w:tabs>
        <w:numPr>
          <w:ilvl w:val="0"/>
          <w:numId w:val="42"/>
        </w:numPr>
        <w:rPr>
          <w:rFonts w:ascii="Arial" w:cs="Arial" w:eastAsia="Arial" w:hAnsi="Arial"/>
          <w:sz w:val="13"/>
          <w:szCs w:val="13"/>
          <w:color w:val="auto"/>
        </w:rPr>
      </w:pPr>
      <w:r>
        <w:rPr>
          <w:rFonts w:ascii="Arial" w:cs="Arial" w:eastAsia="Arial" w:hAnsi="Arial"/>
          <w:sz w:val="13"/>
          <w:szCs w:val="13"/>
          <w:color w:val="auto"/>
        </w:rPr>
        <w:t>Humana’s failure to manage acquisitions, divestitures and other significant transactions successfully may have a material adverse effect on the company’s results of operations, financial position, and cash flows.</w:t>
      </w:r>
    </w:p>
    <w:p>
      <w:pPr>
        <w:ind w:left="200" w:hanging="200"/>
        <w:spacing w:after="0"/>
        <w:tabs>
          <w:tab w:leader="none" w:pos="2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If Humana fails to develop and maintain satisfactory relationships with the providers of care to its members, the company’s business may be adversely affected.</w:t>
      </w:r>
    </w:p>
    <w:p>
      <w:pPr>
        <w:spacing w:after="0" w:line="3" w:lineRule="exact"/>
        <w:rPr>
          <w:rFonts w:ascii="Arial" w:cs="Arial" w:eastAsia="Arial" w:hAnsi="Arial"/>
          <w:sz w:val="13"/>
          <w:szCs w:val="13"/>
          <w:color w:val="auto"/>
        </w:rPr>
      </w:pPr>
    </w:p>
    <w:p>
      <w:pPr>
        <w:ind w:left="220" w:right="520" w:hanging="220"/>
        <w:spacing w:after="0" w:line="245" w:lineRule="auto"/>
        <w:tabs>
          <w:tab w:leader="none" w:pos="194" w:val="left"/>
        </w:tabs>
        <w:numPr>
          <w:ilvl w:val="0"/>
          <w:numId w:val="42"/>
        </w:numPr>
        <w:rPr>
          <w:rFonts w:ascii="Arial" w:cs="Arial" w:eastAsia="Arial" w:hAnsi="Arial"/>
          <w:sz w:val="13"/>
          <w:szCs w:val="13"/>
          <w:color w:val="auto"/>
        </w:rPr>
      </w:pPr>
      <w:r>
        <w:rPr>
          <w:rFonts w:ascii="Arial" w:cs="Arial" w:eastAsia="Arial" w:hAnsi="Arial"/>
          <w:sz w:val="13"/>
          <w:szCs w:val="13"/>
          <w:color w:val="auto"/>
        </w:rPr>
        <w:t>Humana’s pharmacy business is highly competitive and subjects it to regulations and supply chain risks in addition to those the company faces with its core health benefits businesses.</w:t>
      </w:r>
    </w:p>
    <w:p>
      <w:pPr>
        <w:ind w:left="200" w:hanging="200"/>
        <w:spacing w:after="0"/>
        <w:tabs>
          <w:tab w:leader="none" w:pos="2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Changes in the prescription drug industry pricing benchmarks may adversely affect Humana’s financial performance.</w:t>
      </w:r>
    </w:p>
    <w:p>
      <w:pPr>
        <w:spacing w:after="0" w:line="3" w:lineRule="exact"/>
        <w:rPr>
          <w:rFonts w:ascii="Arial" w:cs="Arial" w:eastAsia="Arial" w:hAnsi="Arial"/>
          <w:sz w:val="13"/>
          <w:szCs w:val="13"/>
          <w:color w:val="auto"/>
        </w:rPr>
      </w:pPr>
    </w:p>
    <w:p>
      <w:pPr>
        <w:ind w:left="200" w:hanging="200"/>
        <w:spacing w:after="0"/>
        <w:tabs>
          <w:tab w:leader="none" w:pos="2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Humana’s ability to obtain funds from certain of its licensed subsidiaries is restricted by state insurance regulations.</w:t>
      </w:r>
    </w:p>
    <w:p>
      <w:pPr>
        <w:spacing w:after="0" w:line="3" w:lineRule="exact"/>
        <w:rPr>
          <w:rFonts w:ascii="Arial" w:cs="Arial" w:eastAsia="Arial" w:hAnsi="Arial"/>
          <w:sz w:val="13"/>
          <w:szCs w:val="13"/>
          <w:color w:val="auto"/>
        </w:rPr>
      </w:pPr>
    </w:p>
    <w:p>
      <w:pPr>
        <w:ind w:left="200" w:hanging="200"/>
        <w:spacing w:after="0"/>
        <w:tabs>
          <w:tab w:leader="none" w:pos="2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Downgrades in Humana’s debt ratings, should they occur, may adversely affect its business, results of operations, and financial condition.</w:t>
      </w:r>
    </w:p>
    <w:p>
      <w:pPr>
        <w:spacing w:after="0" w:line="3" w:lineRule="exact"/>
        <w:rPr>
          <w:rFonts w:ascii="Arial" w:cs="Arial" w:eastAsia="Arial" w:hAnsi="Arial"/>
          <w:sz w:val="13"/>
          <w:szCs w:val="13"/>
          <w:color w:val="auto"/>
        </w:rPr>
      </w:pPr>
    </w:p>
    <w:p>
      <w:pPr>
        <w:ind w:left="200" w:hanging="200"/>
        <w:spacing w:after="0"/>
        <w:tabs>
          <w:tab w:leader="none" w:pos="2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securities and credit markets may experience volatility and disruption, which may adversely affect Humana’s business.</w:t>
      </w:r>
    </w:p>
    <w:p>
      <w:pPr>
        <w:spacing w:after="0" w:line="3" w:lineRule="exact"/>
        <w:rPr>
          <w:rFonts w:ascii="Arial" w:cs="Arial" w:eastAsia="Arial" w:hAnsi="Arial"/>
          <w:sz w:val="13"/>
          <w:szCs w:val="13"/>
          <w:color w:val="auto"/>
        </w:rPr>
      </w:pPr>
    </w:p>
    <w:p>
      <w:pPr>
        <w:ind w:left="220" w:right="320" w:hanging="166"/>
        <w:spacing w:after="0" w:line="258" w:lineRule="auto"/>
        <w:tabs>
          <w:tab w:leader="none" w:pos="194" w:val="left"/>
        </w:tabs>
        <w:numPr>
          <w:ilvl w:val="1"/>
          <w:numId w:val="42"/>
        </w:numPr>
        <w:rPr>
          <w:rFonts w:ascii="Arial" w:cs="Arial" w:eastAsia="Arial" w:hAnsi="Arial"/>
          <w:sz w:val="13"/>
          <w:szCs w:val="13"/>
          <w:color w:val="auto"/>
        </w:rPr>
      </w:pPr>
      <w:r>
        <w:rPr>
          <w:rFonts w:ascii="Arial" w:cs="Arial" w:eastAsia="Arial" w:hAnsi="Arial"/>
          <w:sz w:val="13"/>
          <w:szCs w:val="13"/>
          <w:color w:val="auto"/>
        </w:rPr>
        <w:t>The spread of, and response to, the novel coronavirus, or COVID-19, underscores certain risks Humana faces, including those discussed above, and the ongoing, heightened uncertainty created by the pandemic precludes any prediction as to the ultimate adverse impact to Humana of COVID-19.</w:t>
      </w:r>
    </w:p>
    <w:p>
      <w:pPr>
        <w:spacing w:after="0" w:line="237" w:lineRule="exact"/>
        <w:rPr>
          <w:sz w:val="20"/>
          <w:szCs w:val="20"/>
          <w:color w:val="auto"/>
        </w:rPr>
      </w:pPr>
    </w:p>
    <w:p>
      <w:pPr>
        <w:jc w:val="both"/>
        <w:ind w:left="220"/>
        <w:spacing w:after="0" w:line="225" w:lineRule="auto"/>
        <w:rPr>
          <w:sz w:val="20"/>
          <w:szCs w:val="20"/>
          <w:color w:val="auto"/>
        </w:rPr>
      </w:pPr>
      <w:r>
        <w:rPr>
          <w:rFonts w:ascii="Arial" w:cs="Arial" w:eastAsia="Arial" w:hAnsi="Arial"/>
          <w:sz w:val="13"/>
          <w:szCs w:val="13"/>
          <w:color w:val="auto"/>
        </w:rPr>
        <w:t>To the extent that the spread of COVID-19 is not contained, the premiums the company charges may prove to be insufficient to cover the cost of health care services delivered to its members, which may increase significantly as a result of higher utilization rates of medical facilities and services and other increases in associated hospital and pharmaceutical costs. Humana may also experience increased costs or decreased revenues if, as a result of the company’s members being unable or unwilling to see their providers due to actions taken to mitigate the spread of COVID-19, Humana is unable to implement</w:t>
      </w:r>
    </w:p>
    <w:p>
      <w:pPr>
        <w:spacing w:after="0" w:line="349"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0660"/>
          </w:cols>
          <w:pgMar w:left="940" w:top="785" w:right="299" w:bottom="1440" w:gutter="0" w:footer="0" w:header="0"/>
        </w:sectPr>
      </w:pPr>
    </w:p>
    <w:bookmarkStart w:id="27" w:name="page28"/>
    <w:bookmarkEnd w:id="27"/>
    <w:p>
      <w:pPr>
        <w:jc w:val="both"/>
        <w:ind w:left="860"/>
        <w:spacing w:after="0" w:line="221" w:lineRule="auto"/>
        <w:rPr>
          <w:sz w:val="20"/>
          <w:szCs w:val="20"/>
          <w:color w:val="auto"/>
        </w:rPr>
      </w:pPr>
      <w:r>
        <w:rPr>
          <w:rFonts w:ascii="Arial" w:cs="Arial" w:eastAsia="Arial" w:hAnsi="Arial"/>
          <w:sz w:val="13"/>
          <w:szCs w:val="13"/>
          <w:color w:val="auto"/>
        </w:rPr>
        <w:t>clinical initiatives to manage health care costs and chronic conditions of its members, and appropriately document their risk profiles. In addition, Humana is offering, and has been mandated by legislative and regulatory action (including the Families First Act and CARES Act) to provide, certain expanded benefit coverage to its members, such as waiving out of pocket costs for COVID-19 testing and treatment. Humana is also taking actions designed to help provide financial and administrative relief for the health care provider community. Such measures and any further steps taken by Humana, or governmental action, to continue to respond to and address the ongoing impact of COVID-19 (including further expansion or modification of the services delivered to its members, the adoption or modification of regulatory requirements associated with those services and the costs and challenges associated with ensuring timely compliance with such requirements), to provide further relief for the health care provider community, or in connection with the relaxation of stay-at-home and physical distancing orders and other restrictions on movement and economic activity, including the potential for widespread testing and therapeutic treatments and the distribution and administration of COVID-19 vaccines, could adversely impact the company’s profitability.</w:t>
      </w:r>
    </w:p>
    <w:p>
      <w:pPr>
        <w:spacing w:after="0" w:line="249" w:lineRule="exact"/>
        <w:rPr>
          <w:sz w:val="20"/>
          <w:szCs w:val="20"/>
          <w:color w:val="auto"/>
        </w:rPr>
      </w:pPr>
    </w:p>
    <w:p>
      <w:pPr>
        <w:ind w:left="860" w:right="20"/>
        <w:spacing w:after="0" w:line="247" w:lineRule="auto"/>
        <w:rPr>
          <w:sz w:val="20"/>
          <w:szCs w:val="20"/>
          <w:color w:val="auto"/>
        </w:rPr>
      </w:pPr>
      <w:r>
        <w:rPr>
          <w:rFonts w:ascii="Arial" w:cs="Arial" w:eastAsia="Arial" w:hAnsi="Arial"/>
          <w:sz w:val="13"/>
          <w:szCs w:val="13"/>
          <w:color w:val="auto"/>
        </w:rPr>
        <w:t>The spread and impact of COVID-19, or actions taken to mitigate this spread, could have material and adverse effects on Humana’s ability to operate effectively, including as a result of the complete or partial closure of facilities or labor shortages. Disruptions in public and private infrastructure, including communications, availability of in-person sales and marketing channels, financial services and supply chains, could materially and adversely disrupt the company’s normal business operations. Humana has transitioned a significant subset of its employee population to a remote work environment in an effort to mitigate the spread of COVID-19, as have a number of the company’s third-party service providers, which may exacerbate certain risks to Humana’s business, including an increased demand for information technology resources, increased risk of phishing and other cybersecurity attacks, and increased risk of unauthorized dissemination of sensitive personal information or proprietary or confidential information about the company or its members or other third-parties. The outbreak of COVID-19 has severely impacted global economic activity, including the businesses of some of Humana’s commercial customers, and caused significant volatility and negative pressure in the financial markets. In addition to disrupting Humana’s operations, these developments may adversely affect the timing of commercial customer premium collections and corresponding claim payments, the value of the company’s investment portfolio, or future liquidity needs.</w:t>
      </w:r>
    </w:p>
    <w:p>
      <w:pPr>
        <w:spacing w:after="0" w:line="82" w:lineRule="exact"/>
        <w:rPr>
          <w:sz w:val="20"/>
          <w:szCs w:val="20"/>
          <w:color w:val="auto"/>
        </w:rPr>
      </w:pPr>
    </w:p>
    <w:p>
      <w:pPr>
        <w:ind w:left="860" w:right="100"/>
        <w:spacing w:after="0" w:line="248" w:lineRule="auto"/>
        <w:rPr>
          <w:sz w:val="20"/>
          <w:szCs w:val="20"/>
          <w:color w:val="auto"/>
        </w:rPr>
      </w:pPr>
      <w:r>
        <w:rPr>
          <w:rFonts w:ascii="Arial" w:cs="Arial" w:eastAsia="Arial" w:hAnsi="Arial"/>
          <w:sz w:val="13"/>
          <w:szCs w:val="13"/>
          <w:color w:val="auto"/>
        </w:rPr>
        <w:t>The ongoing, heightened uncertainty created by the pandemic precludes any prediction as to the ultimate adverse impact to Humana of COVID-19. Humana is continuing to monitor the spread of COVID-19, changes to the company’s benefit coverages, and the ongoing costs and business impacts of dealing with COVID-19, including the potential costs and impacts associated with lifting or reimposing restrictions on movement and economic activity, the timing and degree in resumption of demand for deferred healthcare services, the pace of administration of COVID-19 vaccines and the effectiveness of those vaccines, and related risks. The magnitude and duration of the pandemic and its impact on Humana’s business, results of operations, financial position, and cash flows is uncertain, but such impacts could be material to the company’s business, results of operations, financial position and cash flows.</w:t>
      </w:r>
    </w:p>
    <w:p>
      <w:pPr>
        <w:spacing w:after="0" w:line="90" w:lineRule="exact"/>
        <w:rPr>
          <w:sz w:val="20"/>
          <w:szCs w:val="20"/>
          <w:color w:val="auto"/>
        </w:rPr>
      </w:pPr>
    </w:p>
    <w:p>
      <w:pPr>
        <w:ind w:left="200" w:right="200"/>
        <w:spacing w:after="0" w:line="251" w:lineRule="auto"/>
        <w:rPr>
          <w:sz w:val="20"/>
          <w:szCs w:val="20"/>
          <w:color w:val="auto"/>
        </w:rPr>
      </w:pPr>
      <w:r>
        <w:rPr>
          <w:rFonts w:ascii="Arial" w:cs="Arial" w:eastAsia="Arial" w:hAnsi="Arial"/>
          <w:sz w:val="13"/>
          <w:szCs w:val="13"/>
          <w:color w:val="auto"/>
        </w:rPr>
        <w:t>In making forward-looking statements, Humana is not undertaking to address or update them in future filings or communications regarding its business or results. In light of these risks, uncertainties, and assumptions, the forward-looking events discussed herein may or may not occur. There also may be other risks that the company is unable to predict at this time. Any of these risks and uncertainties may cause actual results to differ materially from the results discussed in the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Humana advises investors to read the following documents as filed by the company with the SEC for further discussion both of the risks it faces and its historical performance:</w:t>
      </w:r>
    </w:p>
    <w:p>
      <w:pPr>
        <w:spacing w:after="0" w:line="148" w:lineRule="exact"/>
        <w:rPr>
          <w:sz w:val="20"/>
          <w:szCs w:val="20"/>
          <w:color w:val="auto"/>
        </w:rPr>
      </w:pPr>
    </w:p>
    <w:p>
      <w:pPr>
        <w:ind w:left="400" w:hanging="192"/>
        <w:spacing w:after="0"/>
        <w:tabs>
          <w:tab w:leader="none" w:pos="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Form 10-K for the year ended December 31, 2020; and</w:t>
      </w:r>
    </w:p>
    <w:p>
      <w:pPr>
        <w:spacing w:after="0" w:line="147" w:lineRule="exact"/>
        <w:rPr>
          <w:rFonts w:ascii="Arial" w:cs="Arial" w:eastAsia="Arial" w:hAnsi="Arial"/>
          <w:sz w:val="13"/>
          <w:szCs w:val="13"/>
          <w:color w:val="auto"/>
        </w:rPr>
      </w:pPr>
    </w:p>
    <w:p>
      <w:pPr>
        <w:ind w:left="400" w:hanging="192"/>
        <w:spacing w:after="0"/>
        <w:tabs>
          <w:tab w:leader="none" w:pos="4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Form 8-Ks filed during 2021.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300"/>
          </w:cols>
          <w:pgMar w:left="300" w:top="776" w:right="29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auto"/>
        </w:rPr>
        <w:t>About Humana</w:t>
      </w:r>
    </w:p>
    <w:p>
      <w:pPr>
        <w:spacing w:after="0" w:line="163"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Humana Inc. (NYSE: HUM) is committed to helping our millions of medical and specialty members achieve their best health. Our successful history in care delivery and health plan administration is helping us create a new kind of integrated care with the power to improve health and well-being and lower costs. Our efforts are leading to a better quality of life for people with Medicare, families, individuals, military service personnel, and communities at large.</w:t>
      </w:r>
    </w:p>
    <w:p>
      <w:pPr>
        <w:spacing w:after="0" w:line="134" w:lineRule="exact"/>
        <w:rPr>
          <w:sz w:val="20"/>
          <w:szCs w:val="20"/>
          <w:color w:val="auto"/>
        </w:rPr>
      </w:pPr>
    </w:p>
    <w:p>
      <w:pPr>
        <w:ind w:right="160"/>
        <w:spacing w:after="0" w:line="251" w:lineRule="auto"/>
        <w:rPr>
          <w:sz w:val="20"/>
          <w:szCs w:val="20"/>
          <w:color w:val="auto"/>
        </w:rPr>
      </w:pPr>
      <w:r>
        <w:rPr>
          <w:rFonts w:ascii="Arial" w:cs="Arial" w:eastAsia="Arial" w:hAnsi="Arial"/>
          <w:sz w:val="13"/>
          <w:szCs w:val="13"/>
          <w:color w:val="auto"/>
        </w:rPr>
        <w:t>To accomplish that, we support physicians and other health care professionals as they work to deliver the right care in the right place for their patients, our members. Our range of clinical capabilities, resources and tools – such as in-home care, behavioral health, pharmacy services, data analytics and wellness solutions – combine to produce a simplified experience that makes health care easier to navigate and more effective.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More information regarding Humana is available to investors via the Investor Relations page of the company’s website at humana.com, including copies of:</w:t>
      </w:r>
    </w:p>
    <w:p>
      <w:pPr>
        <w:spacing w:after="0" w:line="148" w:lineRule="exact"/>
        <w:rPr>
          <w:sz w:val="20"/>
          <w:szCs w:val="20"/>
          <w:color w:val="auto"/>
        </w:rPr>
      </w:pPr>
    </w:p>
    <w:p>
      <w:pPr>
        <w:ind w:left="400" w:hanging="192"/>
        <w:spacing w:after="0"/>
        <w:tabs>
          <w:tab w:leader="none" w:pos="4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Annual reports to stockholders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Securities and Exchange Commission filings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Most recent investor conference presentations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Quarterly earnings news releases and conference calls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Calendar of events</w:t>
      </w:r>
    </w:p>
    <w:p>
      <w:pPr>
        <w:spacing w:after="0" w:line="3" w:lineRule="exact"/>
        <w:rPr>
          <w:rFonts w:ascii="Arial" w:cs="Arial" w:eastAsia="Arial" w:hAnsi="Arial"/>
          <w:sz w:val="13"/>
          <w:szCs w:val="13"/>
          <w:color w:val="auto"/>
        </w:rPr>
      </w:pPr>
    </w:p>
    <w:p>
      <w:pPr>
        <w:ind w:left="400" w:hanging="192"/>
        <w:spacing w:after="0"/>
        <w:tabs>
          <w:tab w:leader="none" w:pos="40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280"/>
          </w:cols>
          <w:pgMar w:left="300" w:top="913" w:right="31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144"/>
        </w:trPr>
        <w:tc>
          <w:tcPr>
            <w:tcW w:w="184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In accordance</w:t>
            </w:r>
          </w:p>
        </w:tc>
        <w:tc>
          <w:tcPr>
            <w:tcW w:w="4680" w:type="dxa"/>
            <w:vAlign w:val="bottom"/>
            <w:tcBorders>
              <w:top w:val="single" w:sz="8" w:color="auto"/>
            </w:tcBorders>
            <w:gridSpan w:val="2"/>
          </w:tcPr>
          <w:p>
            <w:pPr>
              <w:jc w:val="center"/>
              <w:ind w:left="1283"/>
              <w:spacing w:after="0" w:line="144" w:lineRule="exact"/>
              <w:rPr>
                <w:sz w:val="20"/>
                <w:szCs w:val="20"/>
                <w:color w:val="auto"/>
              </w:rPr>
            </w:pPr>
            <w:r>
              <w:rPr>
                <w:rFonts w:ascii="Arial" w:cs="Arial" w:eastAsia="Arial" w:hAnsi="Arial"/>
                <w:sz w:val="14"/>
                <w:szCs w:val="14"/>
                <w:b w:val="1"/>
                <w:bCs w:val="1"/>
                <w:color w:val="477915"/>
              </w:rPr>
              <w:t>Humana Inc.</w:t>
            </w:r>
          </w:p>
        </w:tc>
        <w:tc>
          <w:tcPr>
            <w:tcW w:w="134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320" w:type="dxa"/>
            <w:vAlign w:val="bottom"/>
            <w:tcBorders>
              <w:top w:val="single" w:sz="8" w:color="auto"/>
              <w:right w:val="single" w:sz="8" w:color="auto"/>
            </w:tcBorders>
          </w:tcPr>
          <w:p>
            <w:pPr>
              <w:ind w:left="1220"/>
              <w:spacing w:after="0" w:line="144" w:lineRule="exact"/>
              <w:rPr>
                <w:sz w:val="20"/>
                <w:szCs w:val="20"/>
                <w:color w:val="auto"/>
              </w:rPr>
            </w:pPr>
            <w:r>
              <w:rPr>
                <w:rFonts w:ascii="Arial" w:cs="Arial" w:eastAsia="Arial" w:hAnsi="Arial"/>
                <w:sz w:val="14"/>
                <w:szCs w:val="14"/>
                <w:b w:val="1"/>
                <w:bCs w:val="1"/>
                <w:color w:val="477915"/>
              </w:rPr>
              <w:t>Comments</w:t>
            </w:r>
          </w:p>
        </w:tc>
        <w:tc>
          <w:tcPr>
            <w:tcW w:w="0" w:type="dxa"/>
            <w:vAlign w:val="bottom"/>
          </w:tcPr>
          <w:p>
            <w:pPr>
              <w:spacing w:after="0"/>
              <w:rPr>
                <w:sz w:val="1"/>
                <w:szCs w:val="1"/>
                <w:color w:val="auto"/>
              </w:rPr>
            </w:pPr>
          </w:p>
        </w:tc>
      </w:tr>
      <w:tr>
        <w:trPr>
          <w:trHeight w:val="144"/>
        </w:trPr>
        <w:tc>
          <w:tcPr>
            <w:tcW w:w="184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with GAAP</w:t>
            </w:r>
          </w:p>
        </w:tc>
        <w:tc>
          <w:tcPr>
            <w:tcW w:w="4680" w:type="dxa"/>
            <w:vAlign w:val="bottom"/>
            <w:gridSpan w:val="2"/>
          </w:tcPr>
          <w:p>
            <w:pPr>
              <w:jc w:val="center"/>
              <w:ind w:left="1263"/>
              <w:spacing w:after="0" w:line="144" w:lineRule="exact"/>
              <w:rPr>
                <w:sz w:val="20"/>
                <w:szCs w:val="20"/>
                <w:color w:val="auto"/>
              </w:rPr>
            </w:pPr>
            <w:r>
              <w:rPr>
                <w:rFonts w:ascii="Arial" w:cs="Arial" w:eastAsia="Arial" w:hAnsi="Arial"/>
                <w:sz w:val="14"/>
                <w:szCs w:val="14"/>
                <w:b w:val="1"/>
                <w:bCs w:val="1"/>
                <w:color w:val="477915"/>
              </w:rPr>
              <w:t>Full-Year 2021 Projections</w:t>
            </w:r>
          </w:p>
        </w:tc>
        <w:tc>
          <w:tcPr>
            <w:tcW w:w="13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4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unless</w:t>
            </w:r>
          </w:p>
        </w:tc>
        <w:tc>
          <w:tcPr>
            <w:tcW w:w="4680" w:type="dxa"/>
            <w:vAlign w:val="bottom"/>
            <w:gridSpan w:val="2"/>
          </w:tcPr>
          <w:p>
            <w:pPr>
              <w:jc w:val="center"/>
              <w:ind w:left="1263"/>
              <w:spacing w:after="0" w:line="144" w:lineRule="exact"/>
              <w:rPr>
                <w:sz w:val="20"/>
                <w:szCs w:val="20"/>
                <w:color w:val="auto"/>
              </w:rPr>
            </w:pPr>
            <w:r>
              <w:rPr>
                <w:rFonts w:ascii="Arial" w:cs="Arial" w:eastAsia="Arial" w:hAnsi="Arial"/>
                <w:sz w:val="14"/>
                <w:szCs w:val="14"/>
                <w:b w:val="1"/>
                <w:bCs w:val="1"/>
                <w:color w:val="477915"/>
              </w:rPr>
              <w:t>As of April 28, 2021</w:t>
            </w:r>
          </w:p>
        </w:tc>
        <w:tc>
          <w:tcPr>
            <w:tcW w:w="13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4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otherwise</w:t>
            </w:r>
          </w:p>
        </w:tc>
        <w:tc>
          <w:tcPr>
            <w:tcW w:w="3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rPr>
              <w:t>noted</w:t>
            </w:r>
          </w:p>
        </w:tc>
        <w:tc>
          <w:tcPr>
            <w:tcW w:w="3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4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1840" w:type="dxa"/>
            <w:vAlign w:val="bottom"/>
            <w:tcBorders>
              <w:left w:val="single" w:sz="8" w:color="auto"/>
              <w:right w:val="single" w:sz="8" w:color="auto"/>
            </w:tcBorders>
          </w:tcPr>
          <w:p>
            <w:pPr>
              <w:spacing w:after="0"/>
              <w:rPr>
                <w:sz w:val="9"/>
                <w:szCs w:val="9"/>
                <w:color w:val="auto"/>
              </w:rPr>
            </w:pPr>
          </w:p>
        </w:tc>
        <w:tc>
          <w:tcPr>
            <w:tcW w:w="3300" w:type="dxa"/>
            <w:vAlign w:val="bottom"/>
            <w:tcBorders>
              <w:right w:val="single" w:sz="8" w:color="auto"/>
            </w:tcBorders>
          </w:tcPr>
          <w:p>
            <w:pPr>
              <w:spacing w:after="0" w:line="107" w:lineRule="exact"/>
              <w:rPr>
                <w:sz w:val="20"/>
                <w:szCs w:val="20"/>
                <w:color w:val="auto"/>
              </w:rPr>
            </w:pPr>
            <w:r>
              <w:rPr>
                <w:rFonts w:ascii="Arial" w:cs="Arial" w:eastAsia="Arial" w:hAnsi="Arial"/>
                <w:sz w:val="11"/>
                <w:szCs w:val="11"/>
                <w:b w:val="1"/>
                <w:bCs w:val="1"/>
                <w:color w:val="auto"/>
              </w:rPr>
              <w:t>GAAP</w:t>
            </w:r>
          </w:p>
        </w:tc>
        <w:tc>
          <w:tcPr>
            <w:tcW w:w="1380" w:type="dxa"/>
            <w:vAlign w:val="bottom"/>
          </w:tcPr>
          <w:p>
            <w:pPr>
              <w:spacing w:after="0"/>
              <w:rPr>
                <w:sz w:val="9"/>
                <w:szCs w:val="9"/>
                <w:color w:val="auto"/>
              </w:rPr>
            </w:pPr>
          </w:p>
        </w:tc>
        <w:tc>
          <w:tcPr>
            <w:tcW w:w="1340" w:type="dxa"/>
            <w:vAlign w:val="bottom"/>
            <w:tcBorders>
              <w:right w:val="single" w:sz="8" w:color="auto"/>
            </w:tcBorders>
          </w:tcPr>
          <w:p>
            <w:pPr>
              <w:jc w:val="right"/>
              <w:spacing w:after="0" w:line="107" w:lineRule="exact"/>
              <w:rPr>
                <w:sz w:val="20"/>
                <w:szCs w:val="20"/>
                <w:color w:val="auto"/>
              </w:rPr>
            </w:pPr>
            <w:r>
              <w:rPr>
                <w:rFonts w:ascii="Arial" w:cs="Arial" w:eastAsia="Arial" w:hAnsi="Arial"/>
                <w:sz w:val="11"/>
                <w:szCs w:val="11"/>
                <w:color w:val="auto"/>
              </w:rPr>
              <w:t>$19.62 to $20.12</w:t>
            </w:r>
          </w:p>
        </w:tc>
        <w:tc>
          <w:tcPr>
            <w:tcW w:w="100" w:type="dxa"/>
            <w:vAlign w:val="bottom"/>
          </w:tcPr>
          <w:p>
            <w:pPr>
              <w:spacing w:after="0"/>
              <w:rPr>
                <w:sz w:val="9"/>
                <w:szCs w:val="9"/>
                <w:color w:val="auto"/>
              </w:rPr>
            </w:pPr>
          </w:p>
        </w:tc>
        <w:tc>
          <w:tcPr>
            <w:tcW w:w="3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840" w:type="dxa"/>
            <w:vAlign w:val="bottom"/>
            <w:tcBorders>
              <w:left w:val="single" w:sz="8" w:color="auto"/>
              <w:right w:val="single" w:sz="8" w:color="auto"/>
            </w:tcBorders>
          </w:tcPr>
          <w:p>
            <w:pPr>
              <w:spacing w:after="0"/>
              <w:rPr>
                <w:sz w:val="11"/>
                <w:szCs w:val="11"/>
                <w:color w:val="auto"/>
              </w:rPr>
            </w:pPr>
          </w:p>
        </w:tc>
        <w:tc>
          <w:tcPr>
            <w:tcW w:w="330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(was $20.82 to $21.32)</w:t>
            </w:r>
          </w:p>
        </w:tc>
        <w:tc>
          <w:tcPr>
            <w:tcW w:w="100" w:type="dxa"/>
            <w:vAlign w:val="bottom"/>
          </w:tcPr>
          <w:p>
            <w:pPr>
              <w:spacing w:after="0"/>
              <w:rPr>
                <w:sz w:val="11"/>
                <w:szCs w:val="11"/>
                <w:color w:val="auto"/>
              </w:rPr>
            </w:pPr>
          </w:p>
        </w:tc>
        <w:tc>
          <w:tcPr>
            <w:tcW w:w="3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840" w:type="dxa"/>
            <w:vAlign w:val="bottom"/>
            <w:tcBorders>
              <w:left w:val="single" w:sz="8" w:color="auto"/>
              <w:right w:val="single" w:sz="8" w:color="auto"/>
            </w:tcBorders>
            <w:vMerge w:val="restart"/>
          </w:tcPr>
          <w:p>
            <w:pPr>
              <w:ind w:left="20"/>
              <w:spacing w:after="0" w:line="121" w:lineRule="exact"/>
              <w:rPr>
                <w:sz w:val="20"/>
                <w:szCs w:val="20"/>
                <w:color w:val="auto"/>
              </w:rPr>
            </w:pPr>
            <w:r>
              <w:rPr>
                <w:rFonts w:ascii="Arial" w:cs="Arial" w:eastAsia="Arial" w:hAnsi="Arial"/>
                <w:sz w:val="11"/>
                <w:szCs w:val="11"/>
                <w:b w:val="1"/>
                <w:bCs w:val="1"/>
                <w:color w:val="auto"/>
              </w:rPr>
              <w:t>Diluted earnings</w:t>
            </w:r>
          </w:p>
        </w:tc>
        <w:tc>
          <w:tcPr>
            <w:tcW w:w="3300" w:type="dxa"/>
            <w:vAlign w:val="bottom"/>
            <w:tcBorders>
              <w:bottom w:val="single" w:sz="8" w:color="auto"/>
              <w:right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340" w:type="dxa"/>
            <w:vAlign w:val="bottom"/>
            <w:tcBorders>
              <w:bottom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3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840" w:type="dxa"/>
            <w:vAlign w:val="bottom"/>
            <w:tcBorders>
              <w:left w:val="single" w:sz="8" w:color="auto"/>
              <w:right w:val="single" w:sz="8" w:color="auto"/>
            </w:tcBorders>
            <w:vMerge w:val="continue"/>
          </w:tcPr>
          <w:p>
            <w:pPr>
              <w:spacing w:after="0"/>
              <w:rPr>
                <w:sz w:val="2"/>
                <w:szCs w:val="2"/>
                <w:color w:val="auto"/>
              </w:rPr>
            </w:pPr>
          </w:p>
        </w:tc>
        <w:tc>
          <w:tcPr>
            <w:tcW w:w="3300" w:type="dxa"/>
            <w:vAlign w:val="bottom"/>
            <w:tcBorders>
              <w:right w:val="single" w:sz="8" w:color="auto"/>
            </w:tcBorders>
            <w:vMerge w:val="restart"/>
          </w:tcPr>
          <w:p>
            <w:pPr>
              <w:spacing w:after="0" w:line="107" w:lineRule="exact"/>
              <w:rPr>
                <w:sz w:val="20"/>
                <w:szCs w:val="20"/>
                <w:color w:val="auto"/>
              </w:rPr>
            </w:pPr>
            <w:r>
              <w:rPr>
                <w:rFonts w:ascii="Arial" w:cs="Arial" w:eastAsia="Arial" w:hAnsi="Arial"/>
                <w:sz w:val="11"/>
                <w:szCs w:val="11"/>
                <w:b w:val="1"/>
                <w:bCs w:val="1"/>
                <w:color w:val="auto"/>
              </w:rPr>
              <w:t>Adjustments</w:t>
            </w:r>
          </w:p>
        </w:tc>
        <w:tc>
          <w:tcPr>
            <w:tcW w:w="1380" w:type="dxa"/>
            <w:vAlign w:val="bottom"/>
          </w:tcPr>
          <w:p>
            <w:pPr>
              <w:spacing w:after="0"/>
              <w:rPr>
                <w:sz w:val="2"/>
                <w:szCs w:val="2"/>
                <w:color w:val="auto"/>
              </w:rPr>
            </w:pPr>
          </w:p>
        </w:tc>
        <w:tc>
          <w:tcPr>
            <w:tcW w:w="1340" w:type="dxa"/>
            <w:vAlign w:val="bottom"/>
            <w:tcBorders>
              <w:right w:val="single" w:sz="8" w:color="auto"/>
            </w:tcBorders>
            <w:vMerge w:val="restart"/>
          </w:tcPr>
          <w:p>
            <w:pPr>
              <w:jc w:val="right"/>
              <w:spacing w:after="0" w:line="107" w:lineRule="exact"/>
              <w:rPr>
                <w:sz w:val="20"/>
                <w:szCs w:val="20"/>
                <w:color w:val="auto"/>
              </w:rPr>
            </w:pPr>
            <w:r>
              <w:rPr>
                <w:rFonts w:ascii="Arial" w:cs="Arial" w:eastAsia="Arial" w:hAnsi="Arial"/>
                <w:sz w:val="11"/>
                <w:szCs w:val="11"/>
                <w:color w:val="auto"/>
              </w:rPr>
              <w:t>$1.63</w:t>
            </w:r>
          </w:p>
        </w:tc>
        <w:tc>
          <w:tcPr>
            <w:tcW w:w="100" w:type="dxa"/>
            <w:vAlign w:val="bottom"/>
          </w:tcPr>
          <w:p>
            <w:pPr>
              <w:spacing w:after="0"/>
              <w:rPr>
                <w:sz w:val="2"/>
                <w:szCs w:val="2"/>
                <w:color w:val="auto"/>
              </w:rPr>
            </w:pPr>
          </w:p>
        </w:tc>
        <w:tc>
          <w:tcPr>
            <w:tcW w:w="33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3"/>
        </w:trPr>
        <w:tc>
          <w:tcPr>
            <w:tcW w:w="1840" w:type="dxa"/>
            <w:vAlign w:val="bottom"/>
            <w:tcBorders>
              <w:left w:val="single" w:sz="8" w:color="auto"/>
              <w:right w:val="single" w:sz="8" w:color="auto"/>
            </w:tcBorders>
            <w:vMerge w:val="restart"/>
          </w:tcPr>
          <w:p>
            <w:pPr>
              <w:ind w:left="120"/>
              <w:spacing w:after="0" w:line="108" w:lineRule="exact"/>
              <w:rPr>
                <w:sz w:val="20"/>
                <w:szCs w:val="20"/>
                <w:color w:val="auto"/>
              </w:rPr>
            </w:pPr>
            <w:r>
              <w:rPr>
                <w:rFonts w:ascii="Arial" w:cs="Arial" w:eastAsia="Arial" w:hAnsi="Arial"/>
                <w:sz w:val="11"/>
                <w:szCs w:val="11"/>
                <w:b w:val="1"/>
                <w:bCs w:val="1"/>
                <w:color w:val="auto"/>
              </w:rPr>
              <w:t>per common</w:t>
            </w:r>
          </w:p>
        </w:tc>
        <w:tc>
          <w:tcPr>
            <w:tcW w:w="3300" w:type="dxa"/>
            <w:vAlign w:val="bottom"/>
            <w:tcBorders>
              <w:right w:val="single" w:sz="8" w:color="auto"/>
            </w:tcBorders>
            <w:vMerge w:val="continue"/>
          </w:tcPr>
          <w:p>
            <w:pPr>
              <w:spacing w:after="0"/>
              <w:rPr>
                <w:sz w:val="6"/>
                <w:szCs w:val="6"/>
                <w:color w:val="auto"/>
              </w:rPr>
            </w:pPr>
          </w:p>
        </w:tc>
        <w:tc>
          <w:tcPr>
            <w:tcW w:w="1380" w:type="dxa"/>
            <w:vAlign w:val="bottom"/>
          </w:tcPr>
          <w:p>
            <w:pPr>
              <w:spacing w:after="0"/>
              <w:rPr>
                <w:sz w:val="6"/>
                <w:szCs w:val="6"/>
                <w:color w:val="auto"/>
              </w:rPr>
            </w:pPr>
          </w:p>
        </w:tc>
        <w:tc>
          <w:tcPr>
            <w:tcW w:w="1340" w:type="dxa"/>
            <w:vAlign w:val="bottom"/>
            <w:tcBorders>
              <w:right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1840" w:type="dxa"/>
            <w:vAlign w:val="bottom"/>
            <w:tcBorders>
              <w:left w:val="single" w:sz="8" w:color="auto"/>
              <w:right w:val="single" w:sz="8" w:color="auto"/>
            </w:tcBorders>
            <w:vMerge w:val="continue"/>
          </w:tcPr>
          <w:p>
            <w:pPr>
              <w:spacing w:after="0"/>
              <w:rPr>
                <w:sz w:val="3"/>
                <w:szCs w:val="3"/>
                <w:color w:val="auto"/>
              </w:rPr>
            </w:pPr>
          </w:p>
        </w:tc>
        <w:tc>
          <w:tcPr>
            <w:tcW w:w="3300" w:type="dxa"/>
            <w:vAlign w:val="bottom"/>
            <w:tcBorders>
              <w:right w:val="single" w:sz="8" w:color="auto"/>
            </w:tcBorders>
          </w:tcPr>
          <w:p>
            <w:pPr>
              <w:spacing w:after="0"/>
              <w:rPr>
                <w:sz w:val="3"/>
                <w:szCs w:val="3"/>
                <w:color w:val="auto"/>
              </w:rPr>
            </w:pPr>
          </w:p>
        </w:tc>
        <w:tc>
          <w:tcPr>
            <w:tcW w:w="1380" w:type="dxa"/>
            <w:vAlign w:val="bottom"/>
          </w:tcPr>
          <w:p>
            <w:pPr>
              <w:spacing w:after="0"/>
              <w:rPr>
                <w:sz w:val="3"/>
                <w:szCs w:val="3"/>
                <w:color w:val="auto"/>
              </w:rPr>
            </w:pP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(was ~$0.43)</w:t>
            </w:r>
          </w:p>
        </w:tc>
        <w:tc>
          <w:tcPr>
            <w:tcW w:w="1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3320" w:type="dxa"/>
            <w:vAlign w:val="bottom"/>
            <w:tcBorders>
              <w:right w:val="single" w:sz="8" w:color="auto"/>
            </w:tcBorders>
            <w:vMerge w:val="restart"/>
          </w:tcPr>
          <w:p>
            <w:pPr>
              <w:ind w:left="80"/>
              <w:spacing w:after="0"/>
              <w:rPr>
                <w:sz w:val="20"/>
                <w:szCs w:val="20"/>
                <w:color w:val="auto"/>
              </w:rPr>
            </w:pPr>
            <w:r>
              <w:rPr>
                <w:rFonts w:ascii="Arial" w:cs="Arial" w:eastAsia="Arial" w:hAnsi="Arial"/>
                <w:sz w:val="10"/>
                <w:szCs w:val="10"/>
                <w:color w:val="auto"/>
              </w:rPr>
              <w:t>Non-GAAP adjustments noted in footnote (d).</w:t>
            </w:r>
          </w:p>
        </w:tc>
        <w:tc>
          <w:tcPr>
            <w:tcW w:w="0" w:type="dxa"/>
            <w:vAlign w:val="bottom"/>
          </w:tcPr>
          <w:p>
            <w:pPr>
              <w:spacing w:after="0" w:line="20" w:lineRule="exact"/>
              <w:rPr>
                <w:sz w:val="1"/>
                <w:szCs w:val="1"/>
                <w:color w:val="auto"/>
              </w:rPr>
            </w:pPr>
          </w:p>
        </w:tc>
      </w:tr>
      <w:tr>
        <w:trPr>
          <w:trHeight w:val="126"/>
        </w:trPr>
        <w:tc>
          <w:tcPr>
            <w:tcW w:w="1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1"/>
                <w:szCs w:val="11"/>
                <w:b w:val="1"/>
                <w:bCs w:val="1"/>
                <w:color w:val="auto"/>
              </w:rPr>
              <w:t>share (EPS)</w:t>
            </w:r>
          </w:p>
        </w:tc>
        <w:tc>
          <w:tcPr>
            <w:tcW w:w="330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34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840" w:type="dxa"/>
            <w:vAlign w:val="bottom"/>
            <w:tcBorders>
              <w:left w:val="single" w:sz="8" w:color="auto"/>
              <w:right w:val="single" w:sz="8" w:color="auto"/>
            </w:tcBorders>
          </w:tcPr>
          <w:p>
            <w:pPr>
              <w:spacing w:after="0"/>
              <w:rPr>
                <w:sz w:val="11"/>
                <w:szCs w:val="11"/>
                <w:color w:val="auto"/>
              </w:rPr>
            </w:pPr>
          </w:p>
        </w:tc>
        <w:tc>
          <w:tcPr>
            <w:tcW w:w="33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Non-GAAP</w:t>
            </w:r>
          </w:p>
        </w:tc>
        <w:tc>
          <w:tcPr>
            <w:tcW w:w="1380" w:type="dxa"/>
            <w:vAlign w:val="bottom"/>
          </w:tcPr>
          <w:p>
            <w:pPr>
              <w:spacing w:after="0"/>
              <w:rPr>
                <w:sz w:val="11"/>
                <w:szCs w:val="11"/>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$21.25 to $21.75</w:t>
            </w:r>
          </w:p>
        </w:tc>
        <w:tc>
          <w:tcPr>
            <w:tcW w:w="100" w:type="dxa"/>
            <w:vAlign w:val="bottom"/>
          </w:tcPr>
          <w:p>
            <w:pPr>
              <w:spacing w:after="0"/>
              <w:rPr>
                <w:sz w:val="11"/>
                <w:szCs w:val="11"/>
                <w:color w:val="auto"/>
              </w:rPr>
            </w:pPr>
          </w:p>
        </w:tc>
        <w:tc>
          <w:tcPr>
            <w:tcW w:w="3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840" w:type="dxa"/>
            <w:vAlign w:val="bottom"/>
            <w:tcBorders>
              <w:left w:val="single" w:sz="8" w:color="auto"/>
              <w:bottom w:val="single" w:sz="8" w:color="auto"/>
              <w:right w:val="single" w:sz="8" w:color="auto"/>
            </w:tcBorders>
          </w:tcPr>
          <w:p>
            <w:pPr>
              <w:spacing w:after="0"/>
              <w:rPr>
                <w:sz w:val="11"/>
                <w:szCs w:val="11"/>
                <w:color w:val="auto"/>
              </w:rPr>
            </w:pPr>
          </w:p>
        </w:tc>
        <w:tc>
          <w:tcPr>
            <w:tcW w:w="3300" w:type="dxa"/>
            <w:vAlign w:val="bottom"/>
            <w:tcBorders>
              <w:bottom w:val="single" w:sz="8" w:color="auto"/>
              <w:right w:val="single" w:sz="8" w:color="auto"/>
            </w:tcBorders>
            <w:vMerge w:val="continue"/>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(no change)</w:t>
            </w:r>
          </w:p>
        </w:tc>
        <w:tc>
          <w:tcPr>
            <w:tcW w:w="100" w:type="dxa"/>
            <w:vAlign w:val="bottom"/>
          </w:tcPr>
          <w:p>
            <w:pPr>
              <w:spacing w:after="0"/>
              <w:rPr>
                <w:sz w:val="11"/>
                <w:szCs w:val="11"/>
                <w:color w:val="auto"/>
              </w:rPr>
            </w:pPr>
          </w:p>
        </w:tc>
        <w:tc>
          <w:tcPr>
            <w:tcW w:w="33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840" w:type="dxa"/>
            <w:vAlign w:val="bottom"/>
            <w:tcBorders>
              <w:left w:val="single" w:sz="8" w:color="auto"/>
              <w:bottom w:val="single" w:sz="8" w:color="auto"/>
              <w:right w:val="single" w:sz="8" w:color="auto"/>
            </w:tcBorders>
            <w:shd w:val="clear" w:color="auto" w:fill="ACACAC"/>
          </w:tcPr>
          <w:p>
            <w:pPr>
              <w:spacing w:after="0"/>
              <w:rPr>
                <w:sz w:val="10"/>
                <w:szCs w:val="10"/>
                <w:color w:val="auto"/>
              </w:rPr>
            </w:pPr>
          </w:p>
        </w:tc>
        <w:tc>
          <w:tcPr>
            <w:tcW w:w="3300" w:type="dxa"/>
            <w:vAlign w:val="bottom"/>
            <w:tcBorders>
              <w:bottom w:val="single" w:sz="8" w:color="auto"/>
              <w:right w:val="single" w:sz="8" w:color="ACACAC"/>
            </w:tcBorders>
            <w:shd w:val="clear" w:color="auto" w:fill="ACACAC"/>
          </w:tcPr>
          <w:p>
            <w:pPr>
              <w:spacing w:after="0"/>
              <w:rPr>
                <w:sz w:val="10"/>
                <w:szCs w:val="10"/>
                <w:color w:val="auto"/>
              </w:rPr>
            </w:pPr>
          </w:p>
        </w:tc>
        <w:tc>
          <w:tcPr>
            <w:tcW w:w="1380" w:type="dxa"/>
            <w:vAlign w:val="bottom"/>
            <w:tcBorders>
              <w:bottom w:val="single" w:sz="8" w:color="auto"/>
            </w:tcBorders>
            <w:shd w:val="clear" w:color="auto" w:fill="ACACAC"/>
          </w:tcPr>
          <w:p>
            <w:pPr>
              <w:spacing w:after="0"/>
              <w:rPr>
                <w:sz w:val="10"/>
                <w:szCs w:val="10"/>
                <w:color w:val="auto"/>
              </w:rPr>
            </w:pPr>
          </w:p>
        </w:tc>
        <w:tc>
          <w:tcPr>
            <w:tcW w:w="1340" w:type="dxa"/>
            <w:vAlign w:val="bottom"/>
            <w:tcBorders>
              <w:bottom w:val="single" w:sz="8" w:color="auto"/>
              <w:right w:val="single" w:sz="8" w:color="auto"/>
            </w:tcBorders>
            <w:shd w:val="clear" w:color="auto" w:fill="ACACAC"/>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1840" w:type="dxa"/>
            <w:vAlign w:val="bottom"/>
            <w:tcBorders>
              <w:left w:val="single" w:sz="8" w:color="auto"/>
              <w:right w:val="single" w:sz="8" w:color="auto"/>
            </w:tcBorders>
          </w:tcPr>
          <w:p>
            <w:pPr>
              <w:spacing w:after="0"/>
              <w:rPr>
                <w:sz w:val="21"/>
                <w:szCs w:val="21"/>
                <w:color w:val="auto"/>
              </w:rPr>
            </w:pPr>
          </w:p>
        </w:tc>
        <w:tc>
          <w:tcPr>
            <w:tcW w:w="330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Consolidated</w:t>
            </w:r>
          </w:p>
        </w:tc>
        <w:tc>
          <w:tcPr>
            <w:tcW w:w="1380" w:type="dxa"/>
            <w:vAlign w:val="bottom"/>
          </w:tcPr>
          <w:p>
            <w:pPr>
              <w:spacing w:after="0"/>
              <w:rPr>
                <w:sz w:val="21"/>
                <w:szCs w:val="21"/>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w w:val="97"/>
              </w:rPr>
              <w:t>$80.3 billion to $81.9 billion</w:t>
            </w:r>
          </w:p>
        </w:tc>
        <w:tc>
          <w:tcPr>
            <w:tcW w:w="100" w:type="dxa"/>
            <w:vAlign w:val="bottom"/>
          </w:tcPr>
          <w:p>
            <w:pPr>
              <w:spacing w:after="0"/>
              <w:rPr>
                <w:sz w:val="21"/>
                <w:szCs w:val="21"/>
                <w:color w:val="auto"/>
              </w:rPr>
            </w:pPr>
          </w:p>
        </w:tc>
        <w:tc>
          <w:tcPr>
            <w:tcW w:w="33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840" w:type="dxa"/>
            <w:vAlign w:val="bottom"/>
            <w:tcBorders>
              <w:left w:val="single" w:sz="8" w:color="auto"/>
              <w:right w:val="single" w:sz="8" w:color="auto"/>
            </w:tcBorders>
          </w:tcPr>
          <w:p>
            <w:pPr>
              <w:spacing w:after="0"/>
              <w:rPr>
                <w:sz w:val="11"/>
                <w:szCs w:val="11"/>
                <w:color w:val="auto"/>
              </w:rPr>
            </w:pPr>
          </w:p>
        </w:tc>
        <w:tc>
          <w:tcPr>
            <w:tcW w:w="33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4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color w:val="auto"/>
              </w:rPr>
              <w:t>(no change)</w:t>
            </w:r>
          </w:p>
        </w:tc>
        <w:tc>
          <w:tcPr>
            <w:tcW w:w="100" w:type="dxa"/>
            <w:vAlign w:val="bottom"/>
          </w:tcPr>
          <w:p>
            <w:pPr>
              <w:ind w:left="60"/>
              <w:spacing w:after="0"/>
              <w:rPr>
                <w:sz w:val="20"/>
                <w:szCs w:val="20"/>
                <w:color w:val="auto"/>
              </w:rPr>
            </w:pPr>
            <w:r>
              <w:rPr>
                <w:rFonts w:ascii="Arial" w:cs="Arial" w:eastAsia="Arial" w:hAnsi="Arial"/>
                <w:sz w:val="7"/>
                <w:szCs w:val="7"/>
                <w:color w:val="auto"/>
                <w:w w:val="79"/>
              </w:rPr>
              <w:t>•</w:t>
            </w:r>
          </w:p>
        </w:tc>
        <w:tc>
          <w:tcPr>
            <w:tcW w:w="3320" w:type="dxa"/>
            <w:vAlign w:val="bottom"/>
            <w:tcBorders>
              <w:right w:val="single" w:sz="8" w:color="auto"/>
            </w:tcBorders>
          </w:tcPr>
          <w:p>
            <w:pPr>
              <w:jc w:val="right"/>
              <w:ind w:right="190"/>
              <w:spacing w:after="0"/>
              <w:rPr>
                <w:sz w:val="20"/>
                <w:szCs w:val="20"/>
                <w:color w:val="auto"/>
              </w:rPr>
            </w:pPr>
            <w:r>
              <w:rPr>
                <w:rFonts w:ascii="Arial" w:cs="Arial" w:eastAsia="Arial" w:hAnsi="Arial"/>
                <w:sz w:val="10"/>
                <w:szCs w:val="10"/>
                <w:color w:val="auto"/>
                <w:w w:val="98"/>
              </w:rPr>
              <w:t>Consolidated and segment-level revenue projections include expected</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right w:val="single" w:sz="8" w:color="auto"/>
            </w:tcBorders>
          </w:tcPr>
          <w:p>
            <w:pPr>
              <w:spacing w:after="0"/>
              <w:rPr>
                <w:sz w:val="7"/>
                <w:szCs w:val="7"/>
                <w:color w:val="auto"/>
              </w:rPr>
            </w:pPr>
          </w:p>
        </w:tc>
        <w:tc>
          <w:tcPr>
            <w:tcW w:w="33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Retail segment</w:t>
            </w:r>
          </w:p>
        </w:tc>
        <w:tc>
          <w:tcPr>
            <w:tcW w:w="1380" w:type="dxa"/>
            <w:vAlign w:val="bottom"/>
          </w:tcPr>
          <w:p>
            <w:pPr>
              <w:spacing w:after="0"/>
              <w:rPr>
                <w:sz w:val="7"/>
                <w:szCs w:val="7"/>
                <w:color w:val="auto"/>
              </w:rPr>
            </w:pP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w w:val="97"/>
              </w:rPr>
              <w:t>$72.6 billion to $73.7 billion</w:t>
            </w:r>
          </w:p>
        </w:tc>
        <w:tc>
          <w:tcPr>
            <w:tcW w:w="100" w:type="dxa"/>
            <w:vAlign w:val="bottom"/>
          </w:tcPr>
          <w:p>
            <w:pPr>
              <w:spacing w:after="0"/>
              <w:rPr>
                <w:sz w:val="7"/>
                <w:szCs w:val="7"/>
                <w:color w:val="auto"/>
              </w:rPr>
            </w:pPr>
          </w:p>
        </w:tc>
        <w:tc>
          <w:tcPr>
            <w:tcW w:w="3320" w:type="dxa"/>
            <w:vAlign w:val="bottom"/>
            <w:tcBorders>
              <w:right w:val="single" w:sz="8" w:color="auto"/>
            </w:tcBorders>
          </w:tcPr>
          <w:p>
            <w:pPr>
              <w:ind w:left="20"/>
              <w:spacing w:after="0" w:line="90" w:lineRule="exact"/>
              <w:rPr>
                <w:sz w:val="20"/>
                <w:szCs w:val="20"/>
                <w:color w:val="auto"/>
              </w:rPr>
            </w:pPr>
            <w:r>
              <w:rPr>
                <w:rFonts w:ascii="Arial" w:cs="Arial" w:eastAsia="Arial" w:hAnsi="Arial"/>
                <w:sz w:val="10"/>
                <w:szCs w:val="10"/>
                <w:color w:val="auto"/>
              </w:rPr>
              <w:t>investment income.</w:t>
            </w:r>
          </w:p>
        </w:tc>
        <w:tc>
          <w:tcPr>
            <w:tcW w:w="0" w:type="dxa"/>
            <w:vAlign w:val="bottom"/>
          </w:tcPr>
          <w:p>
            <w:pPr>
              <w:spacing w:after="0"/>
              <w:rPr>
                <w:sz w:val="1"/>
                <w:szCs w:val="1"/>
                <w:color w:val="auto"/>
              </w:rPr>
            </w:pPr>
          </w:p>
        </w:tc>
      </w:tr>
      <w:tr>
        <w:trPr>
          <w:trHeight w:val="87"/>
        </w:trPr>
        <w:tc>
          <w:tcPr>
            <w:tcW w:w="18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Total revenues</w:t>
            </w:r>
          </w:p>
        </w:tc>
        <w:tc>
          <w:tcPr>
            <w:tcW w:w="3300" w:type="dxa"/>
            <w:vAlign w:val="bottom"/>
            <w:tcBorders>
              <w:right w:val="single" w:sz="8" w:color="auto"/>
            </w:tcBorders>
            <w:vMerge w:val="continue"/>
          </w:tcPr>
          <w:p>
            <w:pPr>
              <w:spacing w:after="0"/>
              <w:rPr>
                <w:sz w:val="7"/>
                <w:szCs w:val="7"/>
                <w:color w:val="auto"/>
              </w:rPr>
            </w:pPr>
          </w:p>
        </w:tc>
        <w:tc>
          <w:tcPr>
            <w:tcW w:w="1380" w:type="dxa"/>
            <w:vAlign w:val="bottom"/>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3420" w:type="dxa"/>
            <w:vAlign w:val="bottom"/>
            <w:tcBorders>
              <w:right w:val="single" w:sz="8" w:color="auto"/>
            </w:tcBorders>
            <w:gridSpan w:val="2"/>
          </w:tcPr>
          <w:p>
            <w:pPr>
              <w:ind w:left="20"/>
              <w:spacing w:after="0" w:line="87" w:lineRule="exact"/>
              <w:rPr>
                <w:sz w:val="20"/>
                <w:szCs w:val="20"/>
                <w:color w:val="auto"/>
              </w:rPr>
            </w:pPr>
            <w:r>
              <w:rPr>
                <w:rFonts w:ascii="Arial" w:cs="Arial" w:eastAsia="Arial" w:hAnsi="Arial"/>
                <w:sz w:val="10"/>
                <w:szCs w:val="10"/>
                <w:color w:val="auto"/>
              </w:rPr>
              <w:t>•  Segment-level revenues include amounts that eliminate in consolidation.</w:t>
            </w:r>
          </w:p>
        </w:tc>
        <w:tc>
          <w:tcPr>
            <w:tcW w:w="0" w:type="dxa"/>
            <w:vAlign w:val="bottom"/>
          </w:tcPr>
          <w:p>
            <w:pPr>
              <w:spacing w:after="0"/>
              <w:rPr>
                <w:sz w:val="1"/>
                <w:szCs w:val="1"/>
                <w:color w:val="auto"/>
              </w:rPr>
            </w:pPr>
          </w:p>
        </w:tc>
      </w:tr>
      <w:tr>
        <w:trPr>
          <w:trHeight w:val="81"/>
        </w:trPr>
        <w:tc>
          <w:tcPr>
            <w:tcW w:w="1840" w:type="dxa"/>
            <w:vAlign w:val="bottom"/>
            <w:tcBorders>
              <w:left w:val="single" w:sz="8" w:color="auto"/>
              <w:right w:val="single" w:sz="8" w:color="auto"/>
            </w:tcBorders>
            <w:vMerge w:val="continue"/>
          </w:tcPr>
          <w:p>
            <w:pPr>
              <w:spacing w:after="0"/>
              <w:rPr>
                <w:sz w:val="7"/>
                <w:szCs w:val="7"/>
                <w:color w:val="auto"/>
              </w:rPr>
            </w:pPr>
          </w:p>
        </w:tc>
        <w:tc>
          <w:tcPr>
            <w:tcW w:w="330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jc w:val="right"/>
              <w:spacing w:after="0" w:line="81" w:lineRule="exact"/>
              <w:rPr>
                <w:sz w:val="20"/>
                <w:szCs w:val="20"/>
                <w:color w:val="auto"/>
              </w:rPr>
            </w:pPr>
            <w:r>
              <w:rPr>
                <w:rFonts w:ascii="Arial" w:cs="Arial" w:eastAsia="Arial" w:hAnsi="Arial"/>
                <w:sz w:val="9"/>
                <w:szCs w:val="9"/>
                <w:color w:val="auto"/>
              </w:rPr>
              <w:t>(no change)</w:t>
            </w:r>
          </w:p>
        </w:tc>
        <w:tc>
          <w:tcPr>
            <w:tcW w:w="100" w:type="dxa"/>
            <w:vAlign w:val="bottom"/>
          </w:tcPr>
          <w:p>
            <w:pPr>
              <w:spacing w:after="0"/>
              <w:rPr>
                <w:sz w:val="7"/>
                <w:szCs w:val="7"/>
                <w:color w:val="auto"/>
              </w:rPr>
            </w:pPr>
          </w:p>
        </w:tc>
        <w:tc>
          <w:tcPr>
            <w:tcW w:w="33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840" w:type="dxa"/>
            <w:vAlign w:val="bottom"/>
            <w:tcBorders>
              <w:left w:val="single" w:sz="8" w:color="auto"/>
              <w:right w:val="single" w:sz="8" w:color="auto"/>
            </w:tcBorders>
          </w:tcPr>
          <w:p>
            <w:pPr>
              <w:spacing w:after="0"/>
              <w:rPr>
                <w:sz w:val="13"/>
                <w:szCs w:val="13"/>
                <w:color w:val="auto"/>
              </w:rPr>
            </w:pPr>
          </w:p>
        </w:tc>
        <w:tc>
          <w:tcPr>
            <w:tcW w:w="330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Group and Specialty segment</w:t>
            </w:r>
          </w:p>
        </w:tc>
        <w:tc>
          <w:tcPr>
            <w:tcW w:w="1380" w:type="dxa"/>
            <w:vAlign w:val="bottom"/>
          </w:tcPr>
          <w:p>
            <w:pPr>
              <w:spacing w:after="0"/>
              <w:rPr>
                <w:sz w:val="13"/>
                <w:szCs w:val="13"/>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$6.6 billion to $7.1 billion</w:t>
            </w:r>
          </w:p>
        </w:tc>
        <w:tc>
          <w:tcPr>
            <w:tcW w:w="100" w:type="dxa"/>
            <w:vAlign w:val="bottom"/>
          </w:tcPr>
          <w:p>
            <w:pPr>
              <w:spacing w:after="0"/>
              <w:rPr>
                <w:sz w:val="13"/>
                <w:szCs w:val="13"/>
                <w:color w:val="auto"/>
              </w:rPr>
            </w:pPr>
          </w:p>
        </w:tc>
        <w:tc>
          <w:tcPr>
            <w:tcW w:w="3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Borders>
              <w:left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jc w:val="right"/>
              <w:spacing w:after="0" w:line="108" w:lineRule="exact"/>
              <w:rPr>
                <w:sz w:val="20"/>
                <w:szCs w:val="20"/>
                <w:color w:val="auto"/>
              </w:rPr>
            </w:pPr>
            <w:r>
              <w:rPr>
                <w:rFonts w:ascii="Arial" w:cs="Arial" w:eastAsia="Arial" w:hAnsi="Arial"/>
                <w:sz w:val="11"/>
                <w:szCs w:val="11"/>
                <w:color w:val="auto"/>
              </w:rPr>
              <w:t>(no change)</w:t>
            </w:r>
          </w:p>
        </w:tc>
        <w:tc>
          <w:tcPr>
            <w:tcW w:w="100" w:type="dxa"/>
            <w:vAlign w:val="bottom"/>
          </w:tcPr>
          <w:p>
            <w:pPr>
              <w:spacing w:after="0"/>
              <w:rPr>
                <w:sz w:val="9"/>
                <w:szCs w:val="9"/>
                <w:color w:val="auto"/>
              </w:rPr>
            </w:pPr>
          </w:p>
        </w:tc>
        <w:tc>
          <w:tcPr>
            <w:tcW w:w="33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840" w:type="dxa"/>
            <w:vAlign w:val="bottom"/>
            <w:tcBorders>
              <w:left w:val="single" w:sz="8" w:color="auto"/>
              <w:right w:val="single" w:sz="8" w:color="auto"/>
            </w:tcBorders>
          </w:tcPr>
          <w:p>
            <w:pPr>
              <w:spacing w:after="0"/>
              <w:rPr>
                <w:sz w:val="13"/>
                <w:szCs w:val="13"/>
                <w:color w:val="auto"/>
              </w:rPr>
            </w:pPr>
          </w:p>
        </w:tc>
        <w:tc>
          <w:tcPr>
            <w:tcW w:w="330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Healthcare Services segment</w:t>
            </w:r>
          </w:p>
        </w:tc>
        <w:tc>
          <w:tcPr>
            <w:tcW w:w="1380" w:type="dxa"/>
            <w:vAlign w:val="bottom"/>
          </w:tcPr>
          <w:p>
            <w:pPr>
              <w:spacing w:after="0"/>
              <w:rPr>
                <w:sz w:val="13"/>
                <w:szCs w:val="13"/>
                <w:color w:val="auto"/>
              </w:rPr>
            </w:pPr>
          </w:p>
        </w:tc>
        <w:tc>
          <w:tcPr>
            <w:tcW w:w="13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w w:val="97"/>
              </w:rPr>
              <w:t>$30.2 billion to $30.5 billion</w:t>
            </w:r>
          </w:p>
        </w:tc>
        <w:tc>
          <w:tcPr>
            <w:tcW w:w="100" w:type="dxa"/>
            <w:vAlign w:val="bottom"/>
          </w:tcPr>
          <w:p>
            <w:pPr>
              <w:spacing w:after="0"/>
              <w:rPr>
                <w:sz w:val="13"/>
                <w:szCs w:val="13"/>
                <w:color w:val="auto"/>
              </w:rPr>
            </w:pPr>
          </w:p>
        </w:tc>
        <w:tc>
          <w:tcPr>
            <w:tcW w:w="33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40" w:type="dxa"/>
            <w:vAlign w:val="bottom"/>
            <w:tcBorders>
              <w:left w:val="single" w:sz="8" w:color="auto"/>
              <w:bottom w:val="single" w:sz="8" w:color="auto"/>
              <w:right w:val="single" w:sz="8" w:color="auto"/>
            </w:tcBorders>
          </w:tcPr>
          <w:p>
            <w:pPr>
              <w:spacing w:after="0"/>
              <w:rPr>
                <w:sz w:val="9"/>
                <w:szCs w:val="9"/>
                <w:color w:val="auto"/>
              </w:rPr>
            </w:pPr>
          </w:p>
        </w:tc>
        <w:tc>
          <w:tcPr>
            <w:tcW w:w="330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jc w:val="right"/>
              <w:spacing w:after="0" w:line="108" w:lineRule="exact"/>
              <w:rPr>
                <w:sz w:val="20"/>
                <w:szCs w:val="20"/>
                <w:color w:val="auto"/>
              </w:rPr>
            </w:pPr>
            <w:r>
              <w:rPr>
                <w:rFonts w:ascii="Arial" w:cs="Arial" w:eastAsia="Arial" w:hAnsi="Arial"/>
                <w:sz w:val="11"/>
                <w:szCs w:val="11"/>
                <w:color w:val="auto"/>
              </w:rPr>
              <w:t>(no change)</w:t>
            </w:r>
          </w:p>
        </w:tc>
        <w:tc>
          <w:tcPr>
            <w:tcW w:w="100" w:type="dxa"/>
            <w:vAlign w:val="bottom"/>
            <w:tcBorders>
              <w:bottom w:val="single" w:sz="8" w:color="auto"/>
            </w:tcBorders>
          </w:tcPr>
          <w:p>
            <w:pPr>
              <w:spacing w:after="0"/>
              <w:rPr>
                <w:sz w:val="9"/>
                <w:szCs w:val="9"/>
                <w:color w:val="auto"/>
              </w:rPr>
            </w:pPr>
          </w:p>
        </w:tc>
        <w:tc>
          <w:tcPr>
            <w:tcW w:w="33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840" w:type="dxa"/>
            <w:vAlign w:val="bottom"/>
            <w:tcBorders>
              <w:left w:val="single" w:sz="8" w:color="auto"/>
              <w:bottom w:val="single" w:sz="8" w:color="auto"/>
              <w:right w:val="single" w:sz="8" w:color="auto"/>
            </w:tcBorders>
            <w:shd w:val="clear" w:color="auto" w:fill="ACACAC"/>
          </w:tcPr>
          <w:p>
            <w:pPr>
              <w:spacing w:after="0"/>
              <w:rPr>
                <w:sz w:val="10"/>
                <w:szCs w:val="10"/>
                <w:color w:val="auto"/>
              </w:rPr>
            </w:pPr>
          </w:p>
        </w:tc>
        <w:tc>
          <w:tcPr>
            <w:tcW w:w="3300" w:type="dxa"/>
            <w:vAlign w:val="bottom"/>
            <w:tcBorders>
              <w:bottom w:val="single" w:sz="8" w:color="auto"/>
              <w:right w:val="single" w:sz="8" w:color="ACACAC"/>
            </w:tcBorders>
            <w:shd w:val="clear" w:color="auto" w:fill="ACACAC"/>
          </w:tcPr>
          <w:p>
            <w:pPr>
              <w:spacing w:after="0"/>
              <w:rPr>
                <w:sz w:val="10"/>
                <w:szCs w:val="10"/>
                <w:color w:val="auto"/>
              </w:rPr>
            </w:pPr>
          </w:p>
        </w:tc>
        <w:tc>
          <w:tcPr>
            <w:tcW w:w="1380" w:type="dxa"/>
            <w:vAlign w:val="bottom"/>
            <w:tcBorders>
              <w:bottom w:val="single" w:sz="8" w:color="auto"/>
            </w:tcBorders>
            <w:shd w:val="clear" w:color="auto" w:fill="ACACAC"/>
          </w:tcPr>
          <w:p>
            <w:pPr>
              <w:spacing w:after="0"/>
              <w:rPr>
                <w:sz w:val="10"/>
                <w:szCs w:val="10"/>
                <w:color w:val="auto"/>
              </w:rPr>
            </w:pPr>
          </w:p>
        </w:tc>
        <w:tc>
          <w:tcPr>
            <w:tcW w:w="1340" w:type="dxa"/>
            <w:vAlign w:val="bottom"/>
            <w:tcBorders>
              <w:bottom w:val="single" w:sz="8" w:color="auto"/>
              <w:right w:val="single" w:sz="8" w:color="auto"/>
            </w:tcBorders>
            <w:shd w:val="clear" w:color="auto" w:fill="ACACAC"/>
          </w:tcPr>
          <w:p>
            <w:pPr>
              <w:spacing w:after="0"/>
              <w:rPr>
                <w:sz w:val="10"/>
                <w:szCs w:val="10"/>
                <w:color w:val="auto"/>
              </w:rPr>
            </w:pPr>
          </w:p>
        </w:tc>
        <w:tc>
          <w:tcPr>
            <w:tcW w:w="100" w:type="dxa"/>
            <w:vAlign w:val="bottom"/>
            <w:tcBorders>
              <w:bottom w:val="single" w:sz="8" w:color="auto"/>
            </w:tcBorders>
            <w:shd w:val="clear" w:color="auto" w:fill="ACACAC"/>
          </w:tcPr>
          <w:p>
            <w:pPr>
              <w:spacing w:after="0"/>
              <w:rPr>
                <w:sz w:val="10"/>
                <w:szCs w:val="10"/>
                <w:color w:val="auto"/>
              </w:rPr>
            </w:pPr>
          </w:p>
        </w:tc>
        <w:tc>
          <w:tcPr>
            <w:tcW w:w="3320" w:type="dxa"/>
            <w:vAlign w:val="bottom"/>
            <w:tcBorders>
              <w:bottom w:val="single" w:sz="8" w:color="auto"/>
              <w:right w:val="single" w:sz="8" w:color="auto"/>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601"/>
        </w:trPr>
        <w:tc>
          <w:tcPr>
            <w:tcW w:w="1840" w:type="dxa"/>
            <w:vAlign w:val="bottom"/>
            <w:tcBorders>
              <w:left w:val="single" w:sz="8" w:color="auto"/>
              <w:right w:val="single" w:sz="8" w:color="auto"/>
            </w:tcBorders>
          </w:tcPr>
          <w:p>
            <w:pPr>
              <w:spacing w:after="0"/>
              <w:rPr>
                <w:sz w:val="24"/>
                <w:szCs w:val="24"/>
                <w:color w:val="auto"/>
              </w:rPr>
            </w:pPr>
          </w:p>
        </w:tc>
        <w:tc>
          <w:tcPr>
            <w:tcW w:w="4680" w:type="dxa"/>
            <w:vAlign w:val="bottom"/>
            <w:gridSpan w:val="2"/>
          </w:tcPr>
          <w:p>
            <w:pPr>
              <w:ind w:left="220"/>
              <w:spacing w:after="0"/>
              <w:rPr>
                <w:sz w:val="20"/>
                <w:szCs w:val="20"/>
                <w:color w:val="auto"/>
              </w:rPr>
            </w:pPr>
            <w:r>
              <w:rPr>
                <w:rFonts w:ascii="Arial" w:cs="Arial" w:eastAsia="Arial" w:hAnsi="Arial"/>
                <w:sz w:val="11"/>
                <w:szCs w:val="11"/>
                <w:color w:val="auto"/>
              </w:rPr>
              <w:t>•   Individual Medicare Advantage: Up ~425,000 to 475,000 (no change)</w:t>
            </w:r>
          </w:p>
        </w:tc>
        <w:tc>
          <w:tcPr>
            <w:tcW w:w="1340" w:type="dxa"/>
            <w:vAlign w:val="bottom"/>
            <w:tcBorders>
              <w:right w:val="single" w:sz="8" w:color="auto"/>
            </w:tcBorders>
          </w:tcPr>
          <w:p>
            <w:pPr>
              <w:spacing w:after="0"/>
              <w:rPr>
                <w:sz w:val="24"/>
                <w:szCs w:val="24"/>
                <w:color w:val="auto"/>
              </w:rPr>
            </w:pPr>
          </w:p>
        </w:tc>
        <w:tc>
          <w:tcPr>
            <w:tcW w:w="3420" w:type="dxa"/>
            <w:vAlign w:val="bottom"/>
            <w:tcBorders>
              <w:right w:val="single" w:sz="8" w:color="auto"/>
            </w:tcBorders>
            <w:gridSpan w:val="2"/>
          </w:tcPr>
          <w:p>
            <w:pPr>
              <w:ind w:left="20"/>
              <w:spacing w:after="0"/>
              <w:rPr>
                <w:sz w:val="20"/>
                <w:szCs w:val="20"/>
                <w:color w:val="auto"/>
              </w:rPr>
            </w:pPr>
            <w:r>
              <w:rPr>
                <w:rFonts w:ascii="Arial" w:cs="Arial" w:eastAsia="Arial" w:hAnsi="Arial"/>
                <w:sz w:val="10"/>
                <w:szCs w:val="10"/>
                <w:color w:val="auto"/>
              </w:rPr>
              <w:t>•  State-based contracts include membership in Florida, Kentucky, Illinois,</w:t>
            </w:r>
          </w:p>
        </w:tc>
        <w:tc>
          <w:tcPr>
            <w:tcW w:w="0" w:type="dxa"/>
            <w:vAlign w:val="bottom"/>
          </w:tcPr>
          <w:p>
            <w:pPr>
              <w:spacing w:after="0"/>
              <w:rPr>
                <w:sz w:val="1"/>
                <w:szCs w:val="1"/>
                <w:color w:val="auto"/>
              </w:rPr>
            </w:pPr>
          </w:p>
        </w:tc>
      </w:tr>
      <w:tr>
        <w:trPr>
          <w:trHeight w:val="90"/>
        </w:trPr>
        <w:tc>
          <w:tcPr>
            <w:tcW w:w="18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Change in year-end medical</w:t>
            </w:r>
          </w:p>
        </w:tc>
        <w:tc>
          <w:tcPr>
            <w:tcW w:w="4680" w:type="dxa"/>
            <w:vAlign w:val="bottom"/>
            <w:gridSpan w:val="2"/>
          </w:tcPr>
          <w:p>
            <w:pPr>
              <w:ind w:left="220"/>
              <w:spacing w:after="0" w:line="90" w:lineRule="exact"/>
              <w:rPr>
                <w:sz w:val="20"/>
                <w:szCs w:val="20"/>
                <w:color w:val="auto"/>
              </w:rPr>
            </w:pPr>
            <w:r>
              <w:rPr>
                <w:rFonts w:ascii="Arial" w:cs="Arial" w:eastAsia="Arial" w:hAnsi="Arial"/>
                <w:sz w:val="10"/>
                <w:szCs w:val="10"/>
                <w:color w:val="auto"/>
              </w:rPr>
              <w:t>•   Group Medicare Advantage: Down ~50,000 (no change)</w:t>
            </w:r>
          </w:p>
        </w:tc>
        <w:tc>
          <w:tcPr>
            <w:tcW w:w="13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320" w:type="dxa"/>
            <w:vAlign w:val="bottom"/>
            <w:tcBorders>
              <w:right w:val="single" w:sz="8" w:color="auto"/>
            </w:tcBorders>
          </w:tcPr>
          <w:p>
            <w:pPr>
              <w:ind w:left="20"/>
              <w:spacing w:after="0" w:line="90" w:lineRule="exact"/>
              <w:rPr>
                <w:sz w:val="20"/>
                <w:szCs w:val="20"/>
                <w:color w:val="auto"/>
              </w:rPr>
            </w:pPr>
            <w:r>
              <w:rPr>
                <w:rFonts w:ascii="Arial" w:cs="Arial" w:eastAsia="Arial" w:hAnsi="Arial"/>
                <w:sz w:val="10"/>
                <w:szCs w:val="10"/>
                <w:color w:val="auto"/>
              </w:rPr>
              <w:t>Wisconsin, and South Carolina. Guidance assumes the extension of the</w:t>
            </w:r>
          </w:p>
        </w:tc>
        <w:tc>
          <w:tcPr>
            <w:tcW w:w="0" w:type="dxa"/>
            <w:vAlign w:val="bottom"/>
          </w:tcPr>
          <w:p>
            <w:pPr>
              <w:spacing w:after="0"/>
              <w:rPr>
                <w:sz w:val="1"/>
                <w:szCs w:val="1"/>
                <w:color w:val="auto"/>
              </w:rPr>
            </w:pPr>
          </w:p>
        </w:tc>
      </w:tr>
      <w:tr>
        <w:trPr>
          <w:trHeight w:val="36"/>
        </w:trPr>
        <w:tc>
          <w:tcPr>
            <w:tcW w:w="1840" w:type="dxa"/>
            <w:vAlign w:val="bottom"/>
            <w:tcBorders>
              <w:left w:val="single" w:sz="8" w:color="auto"/>
              <w:right w:val="single" w:sz="8" w:color="auto"/>
            </w:tcBorders>
            <w:vMerge w:val="continue"/>
          </w:tcPr>
          <w:p>
            <w:pPr>
              <w:spacing w:after="0"/>
              <w:rPr>
                <w:sz w:val="3"/>
                <w:szCs w:val="3"/>
                <w:color w:val="auto"/>
              </w:rPr>
            </w:pPr>
          </w:p>
        </w:tc>
        <w:tc>
          <w:tcPr>
            <w:tcW w:w="4680" w:type="dxa"/>
            <w:vAlign w:val="bottom"/>
            <w:gridSpan w:val="2"/>
            <w:vMerge w:val="restart"/>
          </w:tcPr>
          <w:p>
            <w:pPr>
              <w:ind w:left="220"/>
              <w:spacing w:after="0" w:line="93" w:lineRule="exact"/>
              <w:rPr>
                <w:sz w:val="20"/>
                <w:szCs w:val="20"/>
                <w:color w:val="auto"/>
              </w:rPr>
            </w:pPr>
            <w:r>
              <w:rPr>
                <w:rFonts w:ascii="Arial" w:cs="Arial" w:eastAsia="Arial" w:hAnsi="Arial"/>
                <w:sz w:val="10"/>
                <w:szCs w:val="10"/>
                <w:color w:val="auto"/>
              </w:rPr>
              <w:t>•   Medicare stand-alone PDP: Down ~300,000 (no change))</w:t>
            </w:r>
          </w:p>
        </w:tc>
        <w:tc>
          <w:tcPr>
            <w:tcW w:w="13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20" w:type="dxa"/>
            <w:vAlign w:val="bottom"/>
            <w:tcBorders>
              <w:right w:val="single" w:sz="8" w:color="auto"/>
            </w:tcBorders>
            <w:vMerge w:val="restart"/>
          </w:tcPr>
          <w:p>
            <w:pPr>
              <w:ind w:left="20"/>
              <w:spacing w:after="0" w:line="93" w:lineRule="exact"/>
              <w:rPr>
                <w:sz w:val="20"/>
                <w:szCs w:val="20"/>
                <w:color w:val="auto"/>
              </w:rPr>
            </w:pPr>
            <w:r>
              <w:rPr>
                <w:rFonts w:ascii="Arial" w:cs="Arial" w:eastAsia="Arial" w:hAnsi="Arial"/>
                <w:sz w:val="10"/>
                <w:szCs w:val="10"/>
                <w:color w:val="auto"/>
              </w:rPr>
              <w:t xml:space="preserve">Public Health Emergency remains in effect through the end of 2021. </w:t>
            </w:r>
            <w:r>
              <w:rPr>
                <w:rFonts w:ascii="Arial" w:cs="Arial" w:eastAsia="Arial" w:hAnsi="Arial"/>
                <w:sz w:val="10"/>
                <w:szCs w:val="10"/>
                <w:color w:val="EE2724"/>
              </w:rPr>
              <w:t>.</w:t>
            </w:r>
          </w:p>
        </w:tc>
        <w:tc>
          <w:tcPr>
            <w:tcW w:w="0" w:type="dxa"/>
            <w:vAlign w:val="bottom"/>
          </w:tcPr>
          <w:p>
            <w:pPr>
              <w:spacing w:after="0" w:line="20" w:lineRule="exact"/>
              <w:rPr>
                <w:sz w:val="1"/>
                <w:szCs w:val="1"/>
                <w:color w:val="auto"/>
              </w:rPr>
            </w:pPr>
          </w:p>
        </w:tc>
      </w:tr>
      <w:tr>
        <w:trPr>
          <w:trHeight w:val="57"/>
        </w:trPr>
        <w:tc>
          <w:tcPr>
            <w:tcW w:w="18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membership from prior year end</w:t>
            </w:r>
          </w:p>
        </w:tc>
        <w:tc>
          <w:tcPr>
            <w:tcW w:w="4680" w:type="dxa"/>
            <w:vAlign w:val="bottom"/>
            <w:gridSpan w:val="2"/>
            <w:vMerge w:val="continue"/>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3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840" w:type="dxa"/>
            <w:vAlign w:val="bottom"/>
            <w:tcBorders>
              <w:left w:val="single" w:sz="8" w:color="auto"/>
              <w:right w:val="single" w:sz="8" w:color="auto"/>
            </w:tcBorders>
            <w:vMerge w:val="continue"/>
          </w:tcPr>
          <w:p>
            <w:pPr>
              <w:spacing w:after="0"/>
              <w:rPr>
                <w:sz w:val="7"/>
                <w:szCs w:val="7"/>
                <w:color w:val="auto"/>
              </w:rPr>
            </w:pPr>
          </w:p>
        </w:tc>
        <w:tc>
          <w:tcPr>
            <w:tcW w:w="4680" w:type="dxa"/>
            <w:vAlign w:val="bottom"/>
            <w:gridSpan w:val="2"/>
            <w:vMerge w:val="restart"/>
          </w:tcPr>
          <w:p>
            <w:pPr>
              <w:ind w:left="220"/>
              <w:spacing w:after="0" w:line="105" w:lineRule="exact"/>
              <w:rPr>
                <w:sz w:val="20"/>
                <w:szCs w:val="20"/>
                <w:color w:val="auto"/>
              </w:rPr>
            </w:pPr>
            <w:r>
              <w:rPr>
                <w:rFonts w:ascii="Arial" w:cs="Arial" w:eastAsia="Arial" w:hAnsi="Arial"/>
                <w:sz w:val="11"/>
                <w:szCs w:val="11"/>
                <w:color w:val="auto"/>
                <w:w w:val="99"/>
              </w:rPr>
              <w:t>•   State-based contracts: Up ~50,000 to Up ~100,000 (was Down ~50,000 to Up ~100,000)</w:t>
            </w:r>
          </w:p>
        </w:tc>
        <w:tc>
          <w:tcPr>
            <w:tcW w:w="1340" w:type="dxa"/>
            <w:vAlign w:val="bottom"/>
            <w:tcBorders>
              <w:right w:val="single" w:sz="8" w:color="auto"/>
            </w:tcBorders>
          </w:tcPr>
          <w:p>
            <w:pPr>
              <w:spacing w:after="0"/>
              <w:rPr>
                <w:sz w:val="7"/>
                <w:szCs w:val="7"/>
                <w:color w:val="auto"/>
              </w:rPr>
            </w:pPr>
          </w:p>
        </w:tc>
        <w:tc>
          <w:tcPr>
            <w:tcW w:w="3420" w:type="dxa"/>
            <w:vAlign w:val="bottom"/>
            <w:tcBorders>
              <w:right w:val="single" w:sz="8" w:color="auto"/>
            </w:tcBorders>
            <w:gridSpan w:val="2"/>
            <w:vMerge w:val="restart"/>
          </w:tcPr>
          <w:p>
            <w:pPr>
              <w:ind w:left="20"/>
              <w:spacing w:after="0" w:line="105" w:lineRule="exact"/>
              <w:rPr>
                <w:sz w:val="20"/>
                <w:szCs w:val="20"/>
                <w:color w:val="auto"/>
              </w:rPr>
            </w:pPr>
            <w:r>
              <w:rPr>
                <w:rFonts w:ascii="Arial" w:cs="Arial" w:eastAsia="Arial" w:hAnsi="Arial"/>
                <w:sz w:val="10"/>
                <w:szCs w:val="10"/>
                <w:color w:val="auto"/>
              </w:rPr>
              <w:t>•  Group commercial medical membership includes fully-insured and ASO</w:t>
            </w:r>
          </w:p>
        </w:tc>
        <w:tc>
          <w:tcPr>
            <w:tcW w:w="0" w:type="dxa"/>
            <w:vAlign w:val="bottom"/>
          </w:tcPr>
          <w:p>
            <w:pPr>
              <w:spacing w:after="0"/>
              <w:rPr>
                <w:sz w:val="1"/>
                <w:szCs w:val="1"/>
                <w:color w:val="auto"/>
              </w:rPr>
            </w:pPr>
          </w:p>
        </w:tc>
      </w:tr>
      <w:tr>
        <w:trPr>
          <w:trHeight w:val="20"/>
        </w:trPr>
        <w:tc>
          <w:tcPr>
            <w:tcW w:w="1840" w:type="dxa"/>
            <w:vAlign w:val="bottom"/>
            <w:tcBorders>
              <w:left w:val="single" w:sz="8" w:color="auto"/>
              <w:right w:val="single" w:sz="8" w:color="auto"/>
            </w:tcBorders>
          </w:tcPr>
          <w:p>
            <w:pPr>
              <w:spacing w:after="0" w:line="20" w:lineRule="exact"/>
              <w:rPr>
                <w:sz w:val="1"/>
                <w:szCs w:val="1"/>
                <w:color w:val="auto"/>
              </w:rPr>
            </w:pPr>
          </w:p>
        </w:tc>
        <w:tc>
          <w:tcPr>
            <w:tcW w:w="4680" w:type="dxa"/>
            <w:vAlign w:val="bottom"/>
            <w:gridSpan w:val="2"/>
            <w:vMerge w:val="continue"/>
          </w:tcPr>
          <w:p>
            <w:pPr>
              <w:spacing w:after="0" w:line="20" w:lineRule="exact"/>
              <w:rPr>
                <w:sz w:val="1"/>
                <w:szCs w:val="1"/>
                <w:color w:val="auto"/>
              </w:rPr>
            </w:pPr>
          </w:p>
        </w:tc>
        <w:tc>
          <w:tcPr>
            <w:tcW w:w="1340" w:type="dxa"/>
            <w:vAlign w:val="bottom"/>
            <w:tcBorders>
              <w:right w:val="single" w:sz="8" w:color="auto"/>
            </w:tcBorders>
          </w:tcPr>
          <w:p>
            <w:pPr>
              <w:spacing w:after="0" w:line="20" w:lineRule="exact"/>
              <w:rPr>
                <w:sz w:val="1"/>
                <w:szCs w:val="1"/>
                <w:color w:val="auto"/>
              </w:rPr>
            </w:pPr>
          </w:p>
        </w:tc>
        <w:tc>
          <w:tcPr>
            <w:tcW w:w="342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840" w:type="dxa"/>
            <w:vAlign w:val="bottom"/>
            <w:tcBorders>
              <w:left w:val="single" w:sz="8" w:color="auto"/>
              <w:right w:val="single" w:sz="8" w:color="auto"/>
            </w:tcBorders>
          </w:tcPr>
          <w:p>
            <w:pPr>
              <w:spacing w:after="0"/>
              <w:rPr>
                <w:sz w:val="12"/>
                <w:szCs w:val="12"/>
                <w:color w:val="auto"/>
              </w:rPr>
            </w:pPr>
          </w:p>
        </w:tc>
        <w:tc>
          <w:tcPr>
            <w:tcW w:w="4680" w:type="dxa"/>
            <w:vAlign w:val="bottom"/>
            <w:gridSpan w:val="2"/>
          </w:tcPr>
          <w:p>
            <w:pPr>
              <w:ind w:left="220"/>
              <w:spacing w:after="0"/>
              <w:rPr>
                <w:sz w:val="20"/>
                <w:szCs w:val="20"/>
                <w:color w:val="auto"/>
              </w:rPr>
            </w:pPr>
            <w:r>
              <w:rPr>
                <w:rFonts w:ascii="Arial" w:cs="Arial" w:eastAsia="Arial" w:hAnsi="Arial"/>
                <w:sz w:val="11"/>
                <w:szCs w:val="11"/>
                <w:color w:val="auto"/>
              </w:rPr>
              <w:t>•   Group commercial medical: Down ~100,000 (no change)</w:t>
            </w:r>
          </w:p>
        </w:tc>
        <w:tc>
          <w:tcPr>
            <w:tcW w:w="13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tcBorders>
              <w:right w:val="single" w:sz="8" w:color="auto"/>
            </w:tcBorders>
          </w:tcPr>
          <w:p>
            <w:pPr>
              <w:ind w:left="20"/>
              <w:spacing w:after="0"/>
              <w:rPr>
                <w:sz w:val="20"/>
                <w:szCs w:val="20"/>
                <w:color w:val="auto"/>
              </w:rPr>
            </w:pPr>
            <w:r>
              <w:rPr>
                <w:rFonts w:ascii="Arial" w:cs="Arial" w:eastAsia="Arial" w:hAnsi="Arial"/>
                <w:sz w:val="10"/>
                <w:szCs w:val="10"/>
                <w:color w:val="auto"/>
              </w:rPr>
              <w:t>(self-insured).</w:t>
            </w:r>
          </w:p>
        </w:tc>
        <w:tc>
          <w:tcPr>
            <w:tcW w:w="0" w:type="dxa"/>
            <w:vAlign w:val="bottom"/>
          </w:tcPr>
          <w:p>
            <w:pPr>
              <w:spacing w:after="0"/>
              <w:rPr>
                <w:sz w:val="1"/>
                <w:szCs w:val="1"/>
                <w:color w:val="auto"/>
              </w:rPr>
            </w:pPr>
          </w:p>
        </w:tc>
      </w:tr>
      <w:tr>
        <w:trPr>
          <w:trHeight w:val="481"/>
        </w:trPr>
        <w:tc>
          <w:tcPr>
            <w:tcW w:w="1840" w:type="dxa"/>
            <w:vAlign w:val="bottom"/>
            <w:tcBorders>
              <w:left w:val="single" w:sz="8" w:color="auto"/>
              <w:bottom w:val="single" w:sz="8" w:color="auto"/>
              <w:right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840" w:type="dxa"/>
            <w:vAlign w:val="bottom"/>
            <w:tcBorders>
              <w:left w:val="single" w:sz="8" w:color="auto"/>
              <w:bottom w:val="single" w:sz="8" w:color="auto"/>
              <w:right w:val="single" w:sz="8" w:color="auto"/>
            </w:tcBorders>
            <w:shd w:val="clear" w:color="auto" w:fill="ACACAC"/>
          </w:tcPr>
          <w:p>
            <w:pPr>
              <w:spacing w:after="0"/>
              <w:rPr>
                <w:sz w:val="24"/>
                <w:szCs w:val="24"/>
                <w:color w:val="auto"/>
              </w:rPr>
            </w:pPr>
          </w:p>
        </w:tc>
        <w:tc>
          <w:tcPr>
            <w:tcW w:w="3300" w:type="dxa"/>
            <w:vAlign w:val="bottom"/>
            <w:tcBorders>
              <w:bottom w:val="single" w:sz="8" w:color="auto"/>
              <w:right w:val="single" w:sz="8" w:color="ACACAC"/>
            </w:tcBorders>
            <w:shd w:val="clear" w:color="auto" w:fill="ACACAC"/>
          </w:tcPr>
          <w:p>
            <w:pPr>
              <w:spacing w:after="0"/>
              <w:rPr>
                <w:sz w:val="24"/>
                <w:szCs w:val="24"/>
                <w:color w:val="auto"/>
              </w:rPr>
            </w:pPr>
          </w:p>
        </w:tc>
        <w:tc>
          <w:tcPr>
            <w:tcW w:w="1380" w:type="dxa"/>
            <w:vAlign w:val="bottom"/>
            <w:tcBorders>
              <w:bottom w:val="single" w:sz="8" w:color="auto"/>
            </w:tcBorders>
            <w:shd w:val="clear" w:color="auto" w:fill="ACACAC"/>
          </w:tcPr>
          <w:p>
            <w:pPr>
              <w:spacing w:after="0"/>
              <w:rPr>
                <w:sz w:val="24"/>
                <w:szCs w:val="24"/>
                <w:color w:val="auto"/>
              </w:rPr>
            </w:pPr>
          </w:p>
        </w:tc>
        <w:tc>
          <w:tcPr>
            <w:tcW w:w="1340" w:type="dxa"/>
            <w:vAlign w:val="bottom"/>
            <w:tcBorders>
              <w:bottom w:val="single" w:sz="8" w:color="auto"/>
              <w:right w:val="single" w:sz="8" w:color="auto"/>
            </w:tcBorders>
            <w:shd w:val="clear" w:color="auto" w:fill="ACACAC"/>
          </w:tcPr>
          <w:p>
            <w:pPr>
              <w:spacing w:after="0"/>
              <w:rPr>
                <w:sz w:val="24"/>
                <w:szCs w:val="24"/>
                <w:color w:val="auto"/>
              </w:rPr>
            </w:pPr>
          </w:p>
        </w:tc>
        <w:tc>
          <w:tcPr>
            <w:tcW w:w="100" w:type="dxa"/>
            <w:vAlign w:val="bottom"/>
            <w:tcBorders>
              <w:bottom w:val="single" w:sz="8" w:color="auto"/>
            </w:tcBorders>
            <w:shd w:val="clear" w:color="auto" w:fill="ACACAC"/>
          </w:tcPr>
          <w:p>
            <w:pPr>
              <w:spacing w:after="0"/>
              <w:rPr>
                <w:sz w:val="24"/>
                <w:szCs w:val="24"/>
                <w:color w:val="auto"/>
              </w:rPr>
            </w:pPr>
          </w:p>
        </w:tc>
        <w:tc>
          <w:tcPr>
            <w:tcW w:w="3320" w:type="dxa"/>
            <w:vAlign w:val="bottom"/>
            <w:tcBorders>
              <w:bottom w:val="single" w:sz="8" w:color="auto"/>
              <w:right w:val="single" w:sz="8" w:color="auto"/>
            </w:tcBorders>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840" w:type="dxa"/>
            <w:vAlign w:val="bottom"/>
            <w:tcBorders>
              <w:left w:val="single" w:sz="8" w:color="auto"/>
              <w:right w:val="single" w:sz="8" w:color="auto"/>
            </w:tcBorders>
          </w:tcPr>
          <w:p>
            <w:pPr>
              <w:spacing w:after="0"/>
              <w:rPr>
                <w:sz w:val="10"/>
                <w:szCs w:val="10"/>
                <w:color w:val="auto"/>
              </w:rPr>
            </w:pPr>
          </w:p>
        </w:tc>
        <w:tc>
          <w:tcPr>
            <w:tcW w:w="33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Retail segment</w:t>
            </w:r>
          </w:p>
        </w:tc>
        <w:tc>
          <w:tcPr>
            <w:tcW w:w="1380" w:type="dxa"/>
            <w:vAlign w:val="bottom"/>
          </w:tcPr>
          <w:p>
            <w:pPr>
              <w:spacing w:after="0"/>
              <w:rPr>
                <w:sz w:val="10"/>
                <w:szCs w:val="10"/>
                <w:color w:val="auto"/>
              </w:rPr>
            </w:pPr>
          </w:p>
        </w:tc>
        <w:tc>
          <w:tcPr>
            <w:tcW w:w="1340" w:type="dxa"/>
            <w:vAlign w:val="bottom"/>
            <w:tcBorders>
              <w:right w:val="single" w:sz="8" w:color="auto"/>
            </w:tcBorders>
          </w:tcPr>
          <w:p>
            <w:pPr>
              <w:jc w:val="right"/>
              <w:spacing w:after="0" w:line="116" w:lineRule="exact"/>
              <w:rPr>
                <w:sz w:val="20"/>
                <w:szCs w:val="20"/>
                <w:color w:val="auto"/>
              </w:rPr>
            </w:pPr>
            <w:r>
              <w:rPr>
                <w:rFonts w:ascii="Arial" w:cs="Arial" w:eastAsia="Arial" w:hAnsi="Arial"/>
                <w:sz w:val="11"/>
                <w:szCs w:val="11"/>
                <w:color w:val="auto"/>
              </w:rPr>
              <w:t>87.5% to 88.5%</w:t>
            </w:r>
          </w:p>
        </w:tc>
        <w:tc>
          <w:tcPr>
            <w:tcW w:w="100" w:type="dxa"/>
            <w:vAlign w:val="bottom"/>
          </w:tcPr>
          <w:p>
            <w:pPr>
              <w:spacing w:after="0"/>
              <w:rPr>
                <w:sz w:val="10"/>
                <w:szCs w:val="10"/>
                <w:color w:val="auto"/>
              </w:rPr>
            </w:pPr>
          </w:p>
        </w:tc>
        <w:tc>
          <w:tcPr>
            <w:tcW w:w="33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left w:val="single" w:sz="8" w:color="auto"/>
              <w:right w:val="single" w:sz="8" w:color="auto"/>
            </w:tcBorders>
          </w:tcPr>
          <w:p>
            <w:pPr>
              <w:spacing w:after="0"/>
              <w:rPr>
                <w:sz w:val="6"/>
                <w:szCs w:val="6"/>
                <w:color w:val="auto"/>
              </w:rPr>
            </w:pPr>
          </w:p>
        </w:tc>
        <w:tc>
          <w:tcPr>
            <w:tcW w:w="3300" w:type="dxa"/>
            <w:vAlign w:val="bottom"/>
            <w:tcBorders>
              <w:right w:val="single" w:sz="8" w:color="auto"/>
            </w:tcBorders>
            <w:vMerge w:val="continue"/>
          </w:tcPr>
          <w:p>
            <w:pPr>
              <w:spacing w:after="0"/>
              <w:rPr>
                <w:sz w:val="6"/>
                <w:szCs w:val="6"/>
                <w:color w:val="auto"/>
              </w:rPr>
            </w:pPr>
          </w:p>
        </w:tc>
        <w:tc>
          <w:tcPr>
            <w:tcW w:w="1380" w:type="dxa"/>
            <w:vAlign w:val="bottom"/>
          </w:tcPr>
          <w:p>
            <w:pPr>
              <w:spacing w:after="0"/>
              <w:rPr>
                <w:sz w:val="6"/>
                <w:szCs w:val="6"/>
                <w:color w:val="auto"/>
              </w:rPr>
            </w:pP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(no change)</w:t>
            </w:r>
          </w:p>
        </w:tc>
        <w:tc>
          <w:tcPr>
            <w:tcW w:w="100" w:type="dxa"/>
            <w:vAlign w:val="bottom"/>
          </w:tcPr>
          <w:p>
            <w:pPr>
              <w:spacing w:after="0"/>
              <w:rPr>
                <w:sz w:val="6"/>
                <w:szCs w:val="6"/>
                <w:color w:val="auto"/>
              </w:rPr>
            </w:pPr>
          </w:p>
        </w:tc>
        <w:tc>
          <w:tcPr>
            <w:tcW w:w="3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84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Benefit Ratio</w:t>
            </w:r>
          </w:p>
        </w:tc>
        <w:tc>
          <w:tcPr>
            <w:tcW w:w="3300" w:type="dxa"/>
            <w:vAlign w:val="bottom"/>
            <w:tcBorders>
              <w:right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1340" w:type="dxa"/>
            <w:vAlign w:val="bottom"/>
            <w:tcBorders>
              <w:right w:val="single" w:sz="8" w:color="auto"/>
            </w:tcBorders>
            <w:vMerge w:val="continue"/>
          </w:tcPr>
          <w:p>
            <w:pPr>
              <w:spacing w:after="0"/>
              <w:rPr>
                <w:sz w:val="4"/>
                <w:szCs w:val="4"/>
                <w:color w:val="auto"/>
              </w:rPr>
            </w:pPr>
          </w:p>
        </w:tc>
        <w:tc>
          <w:tcPr>
            <w:tcW w:w="100" w:type="dxa"/>
            <w:vAlign w:val="bottom"/>
            <w:vMerge w:val="restart"/>
          </w:tcPr>
          <w:p>
            <w:pPr>
              <w:ind w:left="20"/>
              <w:spacing w:after="0"/>
              <w:rPr>
                <w:sz w:val="20"/>
                <w:szCs w:val="20"/>
                <w:color w:val="auto"/>
              </w:rPr>
            </w:pPr>
            <w:r>
              <w:rPr>
                <w:rFonts w:ascii="Arial" w:cs="Arial" w:eastAsia="Arial" w:hAnsi="Arial"/>
                <w:sz w:val="10"/>
                <w:szCs w:val="10"/>
                <w:color w:val="auto"/>
              </w:rPr>
              <w:t>•</w:t>
            </w:r>
          </w:p>
        </w:tc>
        <w:tc>
          <w:tcPr>
            <w:tcW w:w="332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0"/>
                <w:szCs w:val="10"/>
                <w:color w:val="auto"/>
                <w:w w:val="96"/>
              </w:rPr>
              <w:t>Ratio calculation: benefits expense as a percent of premiums revenues.</w:t>
            </w:r>
          </w:p>
        </w:tc>
        <w:tc>
          <w:tcPr>
            <w:tcW w:w="0" w:type="dxa"/>
            <w:vAlign w:val="bottom"/>
          </w:tcPr>
          <w:p>
            <w:pPr>
              <w:spacing w:after="0"/>
              <w:rPr>
                <w:sz w:val="1"/>
                <w:szCs w:val="1"/>
                <w:color w:val="auto"/>
              </w:rPr>
            </w:pPr>
          </w:p>
        </w:tc>
      </w:tr>
      <w:tr>
        <w:trPr>
          <w:trHeight w:val="22"/>
        </w:trPr>
        <w:tc>
          <w:tcPr>
            <w:tcW w:w="1840" w:type="dxa"/>
            <w:vAlign w:val="bottom"/>
            <w:tcBorders>
              <w:left w:val="single" w:sz="8" w:color="auto"/>
              <w:right w:val="single" w:sz="8" w:color="auto"/>
            </w:tcBorders>
            <w:vMerge w:val="continue"/>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32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6"/>
        </w:trPr>
        <w:tc>
          <w:tcPr>
            <w:tcW w:w="1840" w:type="dxa"/>
            <w:vAlign w:val="bottom"/>
            <w:tcBorders>
              <w:left w:val="single" w:sz="8" w:color="auto"/>
              <w:right w:val="single" w:sz="8" w:color="auto"/>
            </w:tcBorders>
            <w:vMerge w:val="continue"/>
          </w:tcPr>
          <w:p>
            <w:pPr>
              <w:spacing w:after="0"/>
              <w:rPr>
                <w:sz w:val="10"/>
                <w:szCs w:val="10"/>
                <w:color w:val="auto"/>
              </w:rPr>
            </w:pPr>
          </w:p>
        </w:tc>
        <w:tc>
          <w:tcPr>
            <w:tcW w:w="330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Group and Specialty segment</w:t>
            </w:r>
          </w:p>
        </w:tc>
        <w:tc>
          <w:tcPr>
            <w:tcW w:w="1380" w:type="dxa"/>
            <w:vAlign w:val="bottom"/>
          </w:tcPr>
          <w:p>
            <w:pPr>
              <w:spacing w:after="0"/>
              <w:rPr>
                <w:sz w:val="10"/>
                <w:szCs w:val="10"/>
                <w:color w:val="auto"/>
              </w:rPr>
            </w:pPr>
          </w:p>
        </w:tc>
        <w:tc>
          <w:tcPr>
            <w:tcW w:w="1340" w:type="dxa"/>
            <w:vAlign w:val="bottom"/>
            <w:tcBorders>
              <w:right w:val="single" w:sz="8" w:color="auto"/>
            </w:tcBorders>
          </w:tcPr>
          <w:p>
            <w:pPr>
              <w:jc w:val="right"/>
              <w:spacing w:after="0" w:line="116" w:lineRule="exact"/>
              <w:rPr>
                <w:sz w:val="20"/>
                <w:szCs w:val="20"/>
                <w:color w:val="auto"/>
              </w:rPr>
            </w:pPr>
            <w:r>
              <w:rPr>
                <w:rFonts w:ascii="Arial" w:cs="Arial" w:eastAsia="Arial" w:hAnsi="Arial"/>
                <w:sz w:val="11"/>
                <w:szCs w:val="11"/>
                <w:color w:val="auto"/>
              </w:rPr>
              <w:t>83.2% to 83.7%</w:t>
            </w:r>
          </w:p>
        </w:tc>
        <w:tc>
          <w:tcPr>
            <w:tcW w:w="100" w:type="dxa"/>
            <w:vAlign w:val="bottom"/>
            <w:vMerge w:val="continue"/>
          </w:tcPr>
          <w:p>
            <w:pPr>
              <w:spacing w:after="0"/>
              <w:rPr>
                <w:sz w:val="10"/>
                <w:szCs w:val="10"/>
                <w:color w:val="auto"/>
              </w:rPr>
            </w:pPr>
          </w:p>
        </w:tc>
        <w:tc>
          <w:tcPr>
            <w:tcW w:w="33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left w:val="single" w:sz="8" w:color="auto"/>
              <w:right w:val="single" w:sz="8" w:color="auto"/>
            </w:tcBorders>
          </w:tcPr>
          <w:p>
            <w:pPr>
              <w:spacing w:after="0"/>
              <w:rPr>
                <w:sz w:val="6"/>
                <w:szCs w:val="6"/>
                <w:color w:val="auto"/>
              </w:rPr>
            </w:pPr>
          </w:p>
        </w:tc>
        <w:tc>
          <w:tcPr>
            <w:tcW w:w="3300" w:type="dxa"/>
            <w:vAlign w:val="bottom"/>
            <w:tcBorders>
              <w:right w:val="single" w:sz="8" w:color="auto"/>
            </w:tcBorders>
            <w:vMerge w:val="continue"/>
          </w:tcPr>
          <w:p>
            <w:pPr>
              <w:spacing w:after="0"/>
              <w:rPr>
                <w:sz w:val="6"/>
                <w:szCs w:val="6"/>
                <w:color w:val="auto"/>
              </w:rPr>
            </w:pPr>
          </w:p>
        </w:tc>
        <w:tc>
          <w:tcPr>
            <w:tcW w:w="1380" w:type="dxa"/>
            <w:vAlign w:val="bottom"/>
          </w:tcPr>
          <w:p>
            <w:pPr>
              <w:spacing w:after="0"/>
              <w:rPr>
                <w:sz w:val="6"/>
                <w:szCs w:val="6"/>
                <w:color w:val="auto"/>
              </w:rPr>
            </w:pPr>
          </w:p>
        </w:tc>
        <w:tc>
          <w:tcPr>
            <w:tcW w:w="13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(no change)</w:t>
            </w:r>
          </w:p>
        </w:tc>
        <w:tc>
          <w:tcPr>
            <w:tcW w:w="100" w:type="dxa"/>
            <w:vAlign w:val="bottom"/>
          </w:tcPr>
          <w:p>
            <w:pPr>
              <w:spacing w:after="0"/>
              <w:rPr>
                <w:sz w:val="6"/>
                <w:szCs w:val="6"/>
                <w:color w:val="auto"/>
              </w:rPr>
            </w:pPr>
          </w:p>
        </w:tc>
        <w:tc>
          <w:tcPr>
            <w:tcW w:w="3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840" w:type="dxa"/>
            <w:vAlign w:val="bottom"/>
            <w:tcBorders>
              <w:left w:val="single" w:sz="8" w:color="auto"/>
              <w:right w:val="single" w:sz="8" w:color="auto"/>
            </w:tcBorders>
          </w:tcPr>
          <w:p>
            <w:pPr>
              <w:spacing w:after="0"/>
              <w:rPr>
                <w:sz w:val="4"/>
                <w:szCs w:val="4"/>
                <w:color w:val="auto"/>
              </w:rPr>
            </w:pPr>
          </w:p>
        </w:tc>
        <w:tc>
          <w:tcPr>
            <w:tcW w:w="3300" w:type="dxa"/>
            <w:vAlign w:val="bottom"/>
            <w:tcBorders>
              <w:right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1340" w:type="dxa"/>
            <w:vAlign w:val="bottom"/>
            <w:tcBorders>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3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8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3420" w:type="dxa"/>
            <w:vAlign w:val="bottom"/>
            <w:tcBorders>
              <w:bottom w:val="single" w:sz="8" w:color="auto"/>
              <w:right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0"/>
        </w:trPr>
        <w:tc>
          <w:tcPr>
            <w:tcW w:w="1840" w:type="dxa"/>
            <w:vAlign w:val="bottom"/>
            <w:tcBorders>
              <w:left w:val="single" w:sz="8" w:color="auto"/>
              <w:bottom w:val="single" w:sz="8" w:color="auto"/>
              <w:right w:val="single" w:sz="8" w:color="auto"/>
            </w:tcBorders>
            <w:shd w:val="clear" w:color="auto" w:fill="ACACAC"/>
          </w:tcPr>
          <w:p>
            <w:pPr>
              <w:spacing w:after="0"/>
              <w:rPr>
                <w:sz w:val="24"/>
                <w:szCs w:val="24"/>
                <w:color w:val="auto"/>
              </w:rPr>
            </w:pPr>
          </w:p>
        </w:tc>
        <w:tc>
          <w:tcPr>
            <w:tcW w:w="3300" w:type="dxa"/>
            <w:vAlign w:val="bottom"/>
            <w:tcBorders>
              <w:bottom w:val="single" w:sz="8" w:color="auto"/>
              <w:right w:val="single" w:sz="8" w:color="ACACAC"/>
            </w:tcBorders>
            <w:shd w:val="clear" w:color="auto" w:fill="ACACAC"/>
          </w:tcPr>
          <w:p>
            <w:pPr>
              <w:spacing w:after="0"/>
              <w:rPr>
                <w:sz w:val="24"/>
                <w:szCs w:val="24"/>
                <w:color w:val="auto"/>
              </w:rPr>
            </w:pPr>
          </w:p>
        </w:tc>
        <w:tc>
          <w:tcPr>
            <w:tcW w:w="1380" w:type="dxa"/>
            <w:vAlign w:val="bottom"/>
            <w:tcBorders>
              <w:bottom w:val="single" w:sz="8" w:color="auto"/>
            </w:tcBorders>
            <w:shd w:val="clear" w:color="auto" w:fill="ACACAC"/>
          </w:tcPr>
          <w:p>
            <w:pPr>
              <w:spacing w:after="0"/>
              <w:rPr>
                <w:sz w:val="24"/>
                <w:szCs w:val="24"/>
                <w:color w:val="auto"/>
              </w:rPr>
            </w:pPr>
          </w:p>
        </w:tc>
        <w:tc>
          <w:tcPr>
            <w:tcW w:w="1340" w:type="dxa"/>
            <w:vAlign w:val="bottom"/>
            <w:tcBorders>
              <w:bottom w:val="single" w:sz="8" w:color="auto"/>
              <w:right w:val="single" w:sz="8" w:color="auto"/>
            </w:tcBorders>
            <w:shd w:val="clear" w:color="auto" w:fill="ACACAC"/>
          </w:tcPr>
          <w:p>
            <w:pPr>
              <w:spacing w:after="0"/>
              <w:rPr>
                <w:sz w:val="24"/>
                <w:szCs w:val="24"/>
                <w:color w:val="auto"/>
              </w:rPr>
            </w:pPr>
          </w:p>
        </w:tc>
        <w:tc>
          <w:tcPr>
            <w:tcW w:w="100" w:type="dxa"/>
            <w:vAlign w:val="bottom"/>
            <w:tcBorders>
              <w:bottom w:val="single" w:sz="8" w:color="auto"/>
            </w:tcBorders>
            <w:shd w:val="clear" w:color="auto" w:fill="ACACAC"/>
          </w:tcPr>
          <w:p>
            <w:pPr>
              <w:spacing w:after="0"/>
              <w:rPr>
                <w:sz w:val="24"/>
                <w:szCs w:val="24"/>
                <w:color w:val="auto"/>
              </w:rPr>
            </w:pPr>
          </w:p>
        </w:tc>
        <w:tc>
          <w:tcPr>
            <w:tcW w:w="3320" w:type="dxa"/>
            <w:vAlign w:val="bottom"/>
            <w:tcBorders>
              <w:bottom w:val="single" w:sz="8" w:color="auto"/>
              <w:right w:val="single" w:sz="8" w:color="auto"/>
            </w:tcBorders>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Consolidated operating cost ratio</w:t>
            </w:r>
          </w:p>
        </w:tc>
        <w:tc>
          <w:tcPr>
            <w:tcW w:w="4680" w:type="dxa"/>
            <w:vAlign w:val="bottom"/>
            <w:gridSpan w:val="2"/>
          </w:tcPr>
          <w:p>
            <w:pPr>
              <w:spacing w:after="0"/>
              <w:rPr>
                <w:sz w:val="20"/>
                <w:szCs w:val="20"/>
                <w:color w:val="auto"/>
              </w:rPr>
            </w:pPr>
            <w:r>
              <w:rPr>
                <w:rFonts w:ascii="Arial" w:cs="Arial" w:eastAsia="Arial" w:hAnsi="Arial"/>
                <w:sz w:val="11"/>
                <w:szCs w:val="11"/>
                <w:color w:val="auto"/>
              </w:rPr>
              <w:t>10.0% to 11.0% (no change)</w:t>
            </w:r>
          </w:p>
        </w:tc>
        <w:tc>
          <w:tcPr>
            <w:tcW w:w="1340" w:type="dxa"/>
            <w:vAlign w:val="bottom"/>
            <w:tcBorders>
              <w:right w:val="single" w:sz="8" w:color="auto"/>
            </w:tcBorders>
          </w:tcPr>
          <w:p>
            <w:pPr>
              <w:spacing w:after="0"/>
              <w:rPr>
                <w:sz w:val="11"/>
                <w:szCs w:val="11"/>
                <w:color w:val="auto"/>
              </w:rPr>
            </w:pPr>
          </w:p>
        </w:tc>
        <w:tc>
          <w:tcPr>
            <w:tcW w:w="3420" w:type="dxa"/>
            <w:vAlign w:val="bottom"/>
            <w:tcBorders>
              <w:right w:val="single" w:sz="8" w:color="auto"/>
            </w:tcBorders>
            <w:gridSpan w:val="2"/>
          </w:tcPr>
          <w:p>
            <w:pPr>
              <w:ind w:left="20"/>
              <w:spacing w:after="0"/>
              <w:rPr>
                <w:sz w:val="20"/>
                <w:szCs w:val="20"/>
                <w:color w:val="auto"/>
              </w:rPr>
            </w:pPr>
            <w:r>
              <w:rPr>
                <w:rFonts w:ascii="Arial" w:cs="Arial" w:eastAsia="Arial" w:hAnsi="Arial"/>
                <w:sz w:val="10"/>
                <w:szCs w:val="10"/>
                <w:color w:val="auto"/>
              </w:rPr>
              <w:t>•  Ratio calculation: operating costs excluding depreciation and amortization</w:t>
            </w:r>
          </w:p>
        </w:tc>
        <w:tc>
          <w:tcPr>
            <w:tcW w:w="0" w:type="dxa"/>
            <w:vAlign w:val="bottom"/>
          </w:tcPr>
          <w:p>
            <w:pPr>
              <w:spacing w:after="0"/>
              <w:rPr>
                <w:sz w:val="1"/>
                <w:szCs w:val="1"/>
                <w:color w:val="auto"/>
              </w:rPr>
            </w:pPr>
          </w:p>
        </w:tc>
      </w:tr>
      <w:tr>
        <w:trPr>
          <w:trHeight w:val="72"/>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33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320" w:type="dxa"/>
            <w:vAlign w:val="bottom"/>
            <w:tcBorders>
              <w:bottom w:val="single" w:sz="8" w:color="auto"/>
              <w:right w:val="single" w:sz="8" w:color="auto"/>
            </w:tcBorders>
          </w:tcPr>
          <w:p>
            <w:pPr>
              <w:ind w:left="20"/>
              <w:spacing w:after="0" w:line="72" w:lineRule="exact"/>
              <w:rPr>
                <w:sz w:val="20"/>
                <w:szCs w:val="20"/>
                <w:color w:val="auto"/>
              </w:rPr>
            </w:pPr>
            <w:r>
              <w:rPr>
                <w:rFonts w:ascii="Arial" w:cs="Arial" w:eastAsia="Arial" w:hAnsi="Arial"/>
                <w:sz w:val="8"/>
                <w:szCs w:val="8"/>
                <w:color w:val="auto"/>
              </w:rPr>
              <w:t>as a percent of revenues excluding investment income.</w:t>
            </w:r>
          </w:p>
        </w:tc>
        <w:tc>
          <w:tcPr>
            <w:tcW w:w="0" w:type="dxa"/>
            <w:vAlign w:val="bottom"/>
          </w:tcPr>
          <w:p>
            <w:pPr>
              <w:spacing w:after="0"/>
              <w:rPr>
                <w:sz w:val="1"/>
                <w:szCs w:val="1"/>
                <w:color w:val="auto"/>
              </w:rPr>
            </w:pPr>
          </w:p>
        </w:tc>
      </w:tr>
      <w:tr>
        <w:trPr>
          <w:trHeight w:val="1305"/>
        </w:trPr>
        <w:tc>
          <w:tcPr>
            <w:tcW w:w="1840" w:type="dxa"/>
            <w:vAlign w:val="bottom"/>
          </w:tcPr>
          <w:p>
            <w:pPr>
              <w:spacing w:after="0"/>
              <w:rPr>
                <w:sz w:val="24"/>
                <w:szCs w:val="24"/>
                <w:color w:val="auto"/>
              </w:rPr>
            </w:pPr>
          </w:p>
        </w:tc>
        <w:tc>
          <w:tcPr>
            <w:tcW w:w="4680" w:type="dxa"/>
            <w:vAlign w:val="bottom"/>
            <w:gridSpan w:val="2"/>
          </w:tcPr>
          <w:p>
            <w:pPr>
              <w:ind w:left="3740"/>
              <w:spacing w:after="0"/>
              <w:rPr>
                <w:sz w:val="20"/>
                <w:szCs w:val="20"/>
                <w:color w:val="auto"/>
              </w:rPr>
            </w:pPr>
            <w:r>
              <w:rPr>
                <w:rFonts w:ascii="Arial" w:cs="Arial" w:eastAsia="Arial" w:hAnsi="Arial"/>
                <w:sz w:val="13"/>
                <w:szCs w:val="13"/>
                <w:color w:val="auto"/>
              </w:rPr>
              <w:t>18</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785" w:right="339" w:bottom="1440" w:gutter="0" w:footer="0" w:header="0"/>
        </w:sectPr>
      </w:pPr>
    </w:p>
    <w:bookmarkStart w:id="30" w:name="page31"/>
    <w:bookmarkEnd w:id="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1720" w:type="dxa"/>
            <w:vAlign w:val="bottom"/>
            <w:tcBorders>
              <w:top w:val="single" w:sz="8" w:color="auto"/>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In accordance</w:t>
            </w:r>
          </w:p>
        </w:tc>
        <w:tc>
          <w:tcPr>
            <w:tcW w:w="4640" w:type="dxa"/>
            <w:vAlign w:val="bottom"/>
            <w:tcBorders>
              <w:top w:val="single" w:sz="8" w:color="auto"/>
            </w:tcBorders>
            <w:gridSpan w:val="2"/>
          </w:tcPr>
          <w:p>
            <w:pPr>
              <w:jc w:val="center"/>
              <w:ind w:left="1721"/>
              <w:spacing w:after="0" w:line="144" w:lineRule="exact"/>
              <w:rPr>
                <w:sz w:val="20"/>
                <w:szCs w:val="20"/>
                <w:color w:val="auto"/>
              </w:rPr>
            </w:pPr>
            <w:r>
              <w:rPr>
                <w:rFonts w:ascii="Arial" w:cs="Arial" w:eastAsia="Arial" w:hAnsi="Arial"/>
                <w:sz w:val="14"/>
                <w:szCs w:val="14"/>
                <w:b w:val="1"/>
                <w:bCs w:val="1"/>
                <w:color w:val="477915"/>
              </w:rPr>
              <w:t>Humana Inc.</w:t>
            </w:r>
          </w:p>
        </w:tc>
        <w:tc>
          <w:tcPr>
            <w:tcW w:w="1820" w:type="dxa"/>
            <w:vAlign w:val="bottom"/>
            <w:tcBorders>
              <w:top w:val="single" w:sz="8" w:color="auto"/>
              <w:right w:val="single" w:sz="8" w:color="auto"/>
            </w:tcBorders>
          </w:tcPr>
          <w:p>
            <w:pPr>
              <w:spacing w:after="0"/>
              <w:rPr>
                <w:sz w:val="12"/>
                <w:szCs w:val="12"/>
                <w:color w:val="auto"/>
              </w:rPr>
            </w:pPr>
          </w:p>
        </w:tc>
        <w:tc>
          <w:tcPr>
            <w:tcW w:w="3140" w:type="dxa"/>
            <w:vAlign w:val="bottom"/>
            <w:tcBorders>
              <w:top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477915"/>
              </w:rPr>
              <w:t>Comments</w:t>
            </w:r>
          </w:p>
        </w:tc>
        <w:tc>
          <w:tcPr>
            <w:tcW w:w="0" w:type="dxa"/>
            <w:vAlign w:val="bottom"/>
          </w:tcPr>
          <w:p>
            <w:pPr>
              <w:spacing w:after="0"/>
              <w:rPr>
                <w:sz w:val="1"/>
                <w:szCs w:val="1"/>
                <w:color w:val="auto"/>
              </w:rPr>
            </w:pPr>
          </w:p>
        </w:tc>
      </w:tr>
      <w:tr>
        <w:trPr>
          <w:trHeight w:val="144"/>
        </w:trPr>
        <w:tc>
          <w:tcPr>
            <w:tcW w:w="17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with GAAP</w:t>
            </w:r>
          </w:p>
        </w:tc>
        <w:tc>
          <w:tcPr>
            <w:tcW w:w="4640" w:type="dxa"/>
            <w:vAlign w:val="bottom"/>
            <w:gridSpan w:val="2"/>
          </w:tcPr>
          <w:p>
            <w:pPr>
              <w:jc w:val="center"/>
              <w:ind w:left="1721"/>
              <w:spacing w:after="0" w:line="144" w:lineRule="exact"/>
              <w:rPr>
                <w:sz w:val="20"/>
                <w:szCs w:val="20"/>
                <w:color w:val="auto"/>
              </w:rPr>
            </w:pPr>
            <w:r>
              <w:rPr>
                <w:rFonts w:ascii="Arial" w:cs="Arial" w:eastAsia="Arial" w:hAnsi="Arial"/>
                <w:sz w:val="14"/>
                <w:szCs w:val="14"/>
                <w:b w:val="1"/>
                <w:bCs w:val="1"/>
                <w:color w:val="477915"/>
              </w:rPr>
              <w:t>Full-Year 2021 Projections</w:t>
            </w:r>
          </w:p>
        </w:tc>
        <w:tc>
          <w:tcPr>
            <w:tcW w:w="1820" w:type="dxa"/>
            <w:vAlign w:val="bottom"/>
            <w:tcBorders>
              <w:right w:val="single" w:sz="8" w:color="auto"/>
            </w:tcBorders>
          </w:tcPr>
          <w:p>
            <w:pPr>
              <w:spacing w:after="0"/>
              <w:rPr>
                <w:sz w:val="12"/>
                <w:szCs w:val="12"/>
                <w:color w:val="auto"/>
              </w:rPr>
            </w:pPr>
          </w:p>
        </w:tc>
        <w:tc>
          <w:tcPr>
            <w:tcW w:w="3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unless</w:t>
            </w:r>
          </w:p>
        </w:tc>
        <w:tc>
          <w:tcPr>
            <w:tcW w:w="4640" w:type="dxa"/>
            <w:vAlign w:val="bottom"/>
            <w:gridSpan w:val="2"/>
          </w:tcPr>
          <w:p>
            <w:pPr>
              <w:jc w:val="center"/>
              <w:ind w:left="1741"/>
              <w:spacing w:after="0" w:line="144" w:lineRule="exact"/>
              <w:rPr>
                <w:sz w:val="20"/>
                <w:szCs w:val="20"/>
                <w:color w:val="auto"/>
              </w:rPr>
            </w:pPr>
            <w:r>
              <w:rPr>
                <w:rFonts w:ascii="Arial" w:cs="Arial" w:eastAsia="Arial" w:hAnsi="Arial"/>
                <w:sz w:val="14"/>
                <w:szCs w:val="14"/>
                <w:b w:val="1"/>
                <w:bCs w:val="1"/>
                <w:color w:val="477915"/>
              </w:rPr>
              <w:t>As of April 28, 2021</w:t>
            </w:r>
          </w:p>
        </w:tc>
        <w:tc>
          <w:tcPr>
            <w:tcW w:w="1820" w:type="dxa"/>
            <w:vAlign w:val="bottom"/>
            <w:tcBorders>
              <w:right w:val="single" w:sz="8" w:color="auto"/>
            </w:tcBorders>
          </w:tcPr>
          <w:p>
            <w:pPr>
              <w:spacing w:after="0"/>
              <w:rPr>
                <w:sz w:val="12"/>
                <w:szCs w:val="12"/>
                <w:color w:val="auto"/>
              </w:rPr>
            </w:pPr>
          </w:p>
        </w:tc>
        <w:tc>
          <w:tcPr>
            <w:tcW w:w="3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i w:val="1"/>
                <w:iCs w:val="1"/>
                <w:color w:val="477915"/>
              </w:rPr>
              <w:t>otherwise</w:t>
            </w:r>
          </w:p>
        </w:tc>
        <w:tc>
          <w:tcPr>
            <w:tcW w:w="3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3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i w:val="1"/>
                <w:iCs w:val="1"/>
                <w:color w:val="477915"/>
                <w:w w:val="99"/>
              </w:rPr>
              <w:t>noted</w:t>
            </w:r>
          </w:p>
        </w:tc>
        <w:tc>
          <w:tcPr>
            <w:tcW w:w="3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20" w:type="dxa"/>
            <w:vAlign w:val="bottom"/>
            <w:tcBorders>
              <w:bottom w:val="single" w:sz="8" w:color="auto"/>
              <w:right w:val="single" w:sz="8" w:color="auto"/>
            </w:tcBorders>
          </w:tcPr>
          <w:p>
            <w:pPr>
              <w:spacing w:after="0"/>
              <w:rPr>
                <w:sz w:val="16"/>
                <w:szCs w:val="16"/>
                <w:color w:val="auto"/>
              </w:rPr>
            </w:pPr>
          </w:p>
        </w:tc>
        <w:tc>
          <w:tcPr>
            <w:tcW w:w="31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720" w:type="dxa"/>
            <w:vAlign w:val="bottom"/>
            <w:tcBorders>
              <w:left w:val="single" w:sz="8" w:color="auto"/>
              <w:right w:val="single" w:sz="8" w:color="auto"/>
            </w:tcBorders>
          </w:tcPr>
          <w:p>
            <w:pPr>
              <w:spacing w:after="0"/>
              <w:rPr>
                <w:sz w:val="10"/>
                <w:szCs w:val="10"/>
                <w:color w:val="auto"/>
              </w:rPr>
            </w:pPr>
          </w:p>
        </w:tc>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Retail segment earnings</w:t>
            </w:r>
          </w:p>
        </w:tc>
        <w:tc>
          <w:tcPr>
            <w:tcW w:w="1260" w:type="dxa"/>
            <w:vAlign w:val="bottom"/>
          </w:tcPr>
          <w:p>
            <w:pPr>
              <w:spacing w:after="0"/>
              <w:rPr>
                <w:sz w:val="10"/>
                <w:szCs w:val="10"/>
                <w:color w:val="auto"/>
              </w:rPr>
            </w:pPr>
          </w:p>
        </w:tc>
        <w:tc>
          <w:tcPr>
            <w:tcW w:w="1820" w:type="dxa"/>
            <w:vAlign w:val="bottom"/>
            <w:tcBorders>
              <w:right w:val="single" w:sz="8" w:color="auto"/>
            </w:tcBorders>
          </w:tcPr>
          <w:p>
            <w:pPr>
              <w:jc w:val="right"/>
              <w:spacing w:after="0" w:line="117" w:lineRule="exact"/>
              <w:rPr>
                <w:sz w:val="20"/>
                <w:szCs w:val="20"/>
                <w:color w:val="auto"/>
              </w:rPr>
            </w:pPr>
            <w:r>
              <w:rPr>
                <w:rFonts w:ascii="Arial" w:cs="Arial" w:eastAsia="Arial" w:hAnsi="Arial"/>
                <w:sz w:val="11"/>
                <w:szCs w:val="11"/>
                <w:color w:val="auto"/>
              </w:rPr>
              <w:t>$2.1 billion to $2.3 billion</w:t>
            </w:r>
          </w:p>
        </w:tc>
        <w:tc>
          <w:tcPr>
            <w:tcW w:w="3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720" w:type="dxa"/>
            <w:vAlign w:val="bottom"/>
            <w:tcBorders>
              <w:left w:val="single" w:sz="8" w:color="auto"/>
              <w:right w:val="single" w:sz="8" w:color="auto"/>
            </w:tcBorders>
          </w:tcPr>
          <w:p>
            <w:pPr>
              <w:spacing w:after="0"/>
              <w:rPr>
                <w:sz w:val="6"/>
                <w:szCs w:val="6"/>
                <w:color w:val="auto"/>
              </w:rPr>
            </w:pPr>
          </w:p>
        </w:tc>
        <w:tc>
          <w:tcPr>
            <w:tcW w:w="3380" w:type="dxa"/>
            <w:vAlign w:val="bottom"/>
            <w:tcBorders>
              <w:right w:val="single" w:sz="8" w:color="auto"/>
            </w:tcBorders>
            <w:vMerge w:val="continue"/>
          </w:tcPr>
          <w:p>
            <w:pPr>
              <w:spacing w:after="0"/>
              <w:rPr>
                <w:sz w:val="6"/>
                <w:szCs w:val="6"/>
                <w:color w:val="auto"/>
              </w:rPr>
            </w:pPr>
          </w:p>
        </w:tc>
        <w:tc>
          <w:tcPr>
            <w:tcW w:w="1260" w:type="dxa"/>
            <w:vAlign w:val="bottom"/>
          </w:tcPr>
          <w:p>
            <w:pPr>
              <w:spacing w:after="0"/>
              <w:rPr>
                <w:sz w:val="6"/>
                <w:szCs w:val="6"/>
                <w:color w:val="auto"/>
              </w:rPr>
            </w:pPr>
          </w:p>
        </w:tc>
        <w:tc>
          <w:tcPr>
            <w:tcW w:w="1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(no change)</w:t>
            </w:r>
          </w:p>
        </w:tc>
        <w:tc>
          <w:tcPr>
            <w:tcW w:w="3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720" w:type="dxa"/>
            <w:vAlign w:val="bottom"/>
            <w:tcBorders>
              <w:left w:val="single" w:sz="8" w:color="auto"/>
              <w:right w:val="single" w:sz="8" w:color="auto"/>
            </w:tcBorders>
          </w:tcPr>
          <w:p>
            <w:pPr>
              <w:spacing w:after="0"/>
              <w:rPr>
                <w:sz w:val="4"/>
                <w:szCs w:val="4"/>
                <w:color w:val="auto"/>
              </w:rPr>
            </w:pPr>
          </w:p>
        </w:tc>
        <w:tc>
          <w:tcPr>
            <w:tcW w:w="3380" w:type="dxa"/>
            <w:vAlign w:val="bottom"/>
            <w:tcBorders>
              <w:right w:val="single" w:sz="8" w:color="auto"/>
            </w:tcBorders>
          </w:tcPr>
          <w:p>
            <w:pPr>
              <w:spacing w:after="0"/>
              <w:rPr>
                <w:sz w:val="4"/>
                <w:szCs w:val="4"/>
                <w:color w:val="auto"/>
              </w:rPr>
            </w:pPr>
          </w:p>
        </w:tc>
        <w:tc>
          <w:tcPr>
            <w:tcW w:w="1260" w:type="dxa"/>
            <w:vAlign w:val="bottom"/>
          </w:tcPr>
          <w:p>
            <w:pPr>
              <w:spacing w:after="0"/>
              <w:rPr>
                <w:sz w:val="4"/>
                <w:szCs w:val="4"/>
                <w:color w:val="auto"/>
              </w:rPr>
            </w:pPr>
          </w:p>
        </w:tc>
        <w:tc>
          <w:tcPr>
            <w:tcW w:w="1820" w:type="dxa"/>
            <w:vAlign w:val="bottom"/>
            <w:tcBorders>
              <w:right w:val="single" w:sz="8" w:color="auto"/>
            </w:tcBorders>
            <w:vMerge w:val="continue"/>
          </w:tcPr>
          <w:p>
            <w:pPr>
              <w:spacing w:after="0"/>
              <w:rPr>
                <w:sz w:val="4"/>
                <w:szCs w:val="4"/>
                <w:color w:val="auto"/>
              </w:rPr>
            </w:pPr>
          </w:p>
        </w:tc>
        <w:tc>
          <w:tcPr>
            <w:tcW w:w="3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720" w:type="dxa"/>
            <w:vAlign w:val="bottom"/>
            <w:tcBorders>
              <w:left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3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color w:val="auto"/>
                <w:w w:val="97"/>
              </w:rPr>
              <w:t>•  No material impact to segment earnings anticipated from non-GAAP</w:t>
            </w:r>
          </w:p>
        </w:tc>
        <w:tc>
          <w:tcPr>
            <w:tcW w:w="0" w:type="dxa"/>
            <w:vAlign w:val="bottom"/>
          </w:tcPr>
          <w:p>
            <w:pPr>
              <w:spacing w:after="0"/>
              <w:rPr>
                <w:sz w:val="1"/>
                <w:szCs w:val="1"/>
                <w:color w:val="auto"/>
              </w:rPr>
            </w:pPr>
          </w:p>
        </w:tc>
      </w:tr>
      <w:tr>
        <w:trPr>
          <w:trHeight w:val="106"/>
        </w:trPr>
        <w:tc>
          <w:tcPr>
            <w:tcW w:w="1720" w:type="dxa"/>
            <w:vAlign w:val="bottom"/>
            <w:tcBorders>
              <w:left w:val="single" w:sz="8" w:color="auto"/>
              <w:right w:val="single" w:sz="8" w:color="auto"/>
            </w:tcBorders>
          </w:tcPr>
          <w:p>
            <w:pPr>
              <w:spacing w:after="0"/>
              <w:rPr>
                <w:sz w:val="9"/>
                <w:szCs w:val="9"/>
                <w:color w:val="auto"/>
              </w:rPr>
            </w:pPr>
          </w:p>
        </w:tc>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Group and Specialty segment earnings</w:t>
            </w:r>
          </w:p>
        </w:tc>
        <w:tc>
          <w:tcPr>
            <w:tcW w:w="1260" w:type="dxa"/>
            <w:vAlign w:val="bottom"/>
          </w:tcPr>
          <w:p>
            <w:pPr>
              <w:spacing w:after="0"/>
              <w:rPr>
                <w:sz w:val="9"/>
                <w:szCs w:val="9"/>
                <w:color w:val="auto"/>
              </w:rPr>
            </w:pPr>
          </w:p>
        </w:tc>
        <w:tc>
          <w:tcPr>
            <w:tcW w:w="1820" w:type="dxa"/>
            <w:vAlign w:val="bottom"/>
            <w:tcBorders>
              <w:right w:val="single" w:sz="8" w:color="auto"/>
            </w:tcBorders>
          </w:tcPr>
          <w:p>
            <w:pPr>
              <w:jc w:val="right"/>
              <w:spacing w:after="0" w:line="106" w:lineRule="exact"/>
              <w:rPr>
                <w:sz w:val="20"/>
                <w:szCs w:val="20"/>
                <w:color w:val="auto"/>
              </w:rPr>
            </w:pPr>
            <w:r>
              <w:rPr>
                <w:rFonts w:ascii="Arial" w:cs="Arial" w:eastAsia="Arial" w:hAnsi="Arial"/>
                <w:sz w:val="11"/>
                <w:szCs w:val="11"/>
                <w:color w:val="auto"/>
              </w:rPr>
              <w:t>$75 million to $125 million</w:t>
            </w:r>
          </w:p>
        </w:tc>
        <w:tc>
          <w:tcPr>
            <w:tcW w:w="31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Segment results</w:t>
            </w:r>
          </w:p>
        </w:tc>
        <w:tc>
          <w:tcPr>
            <w:tcW w:w="3380" w:type="dxa"/>
            <w:vAlign w:val="bottom"/>
            <w:tcBorders>
              <w:right w:val="single" w:sz="8" w:color="auto"/>
            </w:tcBorders>
            <w:vMerge w:val="continue"/>
          </w:tcPr>
          <w:p>
            <w:pPr>
              <w:spacing w:after="0"/>
              <w:rPr>
                <w:sz w:val="9"/>
                <w:szCs w:val="9"/>
                <w:color w:val="auto"/>
              </w:rPr>
            </w:pPr>
          </w:p>
        </w:tc>
        <w:tc>
          <w:tcPr>
            <w:tcW w:w="1260" w:type="dxa"/>
            <w:vAlign w:val="bottom"/>
          </w:tcPr>
          <w:p>
            <w:pPr>
              <w:spacing w:after="0"/>
              <w:rPr>
                <w:sz w:val="9"/>
                <w:szCs w:val="9"/>
                <w:color w:val="auto"/>
              </w:rPr>
            </w:pPr>
          </w:p>
        </w:tc>
        <w:tc>
          <w:tcPr>
            <w:tcW w:w="18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(no change)</w:t>
            </w:r>
          </w:p>
        </w:tc>
        <w:tc>
          <w:tcPr>
            <w:tcW w:w="3140" w:type="dxa"/>
            <w:vAlign w:val="bottom"/>
            <w:tcBorders>
              <w:right w:val="single" w:sz="8" w:color="auto"/>
            </w:tcBorders>
          </w:tcPr>
          <w:p>
            <w:pPr>
              <w:ind w:left="100"/>
              <w:spacing w:after="0" w:line="108" w:lineRule="exact"/>
              <w:rPr>
                <w:sz w:val="20"/>
                <w:szCs w:val="20"/>
                <w:color w:val="auto"/>
              </w:rPr>
            </w:pPr>
            <w:r>
              <w:rPr>
                <w:rFonts w:ascii="Arial" w:cs="Arial" w:eastAsia="Arial" w:hAnsi="Arial"/>
                <w:sz w:val="10"/>
                <w:szCs w:val="10"/>
                <w:color w:val="auto"/>
              </w:rPr>
              <w:t>adjustments.</w:t>
            </w:r>
          </w:p>
        </w:tc>
        <w:tc>
          <w:tcPr>
            <w:tcW w:w="0" w:type="dxa"/>
            <w:vAlign w:val="bottom"/>
          </w:tcPr>
          <w:p>
            <w:pPr>
              <w:spacing w:after="0"/>
              <w:rPr>
                <w:sz w:val="1"/>
                <w:szCs w:val="1"/>
                <w:color w:val="auto"/>
              </w:rPr>
            </w:pPr>
          </w:p>
        </w:tc>
      </w:tr>
      <w:tr>
        <w:trPr>
          <w:trHeight w:val="34"/>
        </w:trPr>
        <w:tc>
          <w:tcPr>
            <w:tcW w:w="1720" w:type="dxa"/>
            <w:vAlign w:val="bottom"/>
            <w:tcBorders>
              <w:left w:val="single" w:sz="8" w:color="auto"/>
              <w:right w:val="single" w:sz="8" w:color="auto"/>
            </w:tcBorders>
            <w:vMerge w:val="continue"/>
          </w:tcPr>
          <w:p>
            <w:pPr>
              <w:spacing w:after="0"/>
              <w:rPr>
                <w:sz w:val="2"/>
                <w:szCs w:val="2"/>
                <w:color w:val="auto"/>
              </w:rPr>
            </w:pPr>
          </w:p>
        </w:tc>
        <w:tc>
          <w:tcPr>
            <w:tcW w:w="3380" w:type="dxa"/>
            <w:vAlign w:val="bottom"/>
            <w:tcBorders>
              <w:right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1820" w:type="dxa"/>
            <w:vAlign w:val="bottom"/>
            <w:tcBorders>
              <w:right w:val="single" w:sz="8" w:color="auto"/>
            </w:tcBorders>
            <w:vMerge w:val="continue"/>
          </w:tcPr>
          <w:p>
            <w:pPr>
              <w:spacing w:after="0"/>
              <w:rPr>
                <w:sz w:val="2"/>
                <w:szCs w:val="2"/>
                <w:color w:val="auto"/>
              </w:rPr>
            </w:pPr>
          </w:p>
        </w:tc>
        <w:tc>
          <w:tcPr>
            <w:tcW w:w="31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720" w:type="dxa"/>
            <w:vAlign w:val="bottom"/>
            <w:tcBorders>
              <w:left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right w:val="single" w:sz="8" w:color="auto"/>
            </w:tcBorders>
          </w:tcPr>
          <w:p>
            <w:pPr>
              <w:spacing w:after="0" w:line="20" w:lineRule="exact"/>
              <w:rPr>
                <w:sz w:val="1"/>
                <w:szCs w:val="1"/>
                <w:color w:val="auto"/>
              </w:rPr>
            </w:pPr>
          </w:p>
        </w:tc>
        <w:tc>
          <w:tcPr>
            <w:tcW w:w="31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720" w:type="dxa"/>
            <w:vAlign w:val="bottom"/>
            <w:tcBorders>
              <w:left w:val="single" w:sz="8" w:color="auto"/>
              <w:right w:val="single" w:sz="8" w:color="auto"/>
            </w:tcBorders>
          </w:tcPr>
          <w:p>
            <w:pPr>
              <w:spacing w:after="0"/>
              <w:rPr>
                <w:sz w:val="21"/>
                <w:szCs w:val="21"/>
                <w:color w:val="auto"/>
              </w:rPr>
            </w:pPr>
          </w:p>
        </w:tc>
        <w:tc>
          <w:tcPr>
            <w:tcW w:w="338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Healthcare Services Adjusted EBITDA</w:t>
            </w:r>
          </w:p>
        </w:tc>
        <w:tc>
          <w:tcPr>
            <w:tcW w:w="1260" w:type="dxa"/>
            <w:vAlign w:val="bottom"/>
          </w:tcPr>
          <w:p>
            <w:pPr>
              <w:spacing w:after="0"/>
              <w:rPr>
                <w:sz w:val="21"/>
                <w:szCs w:val="21"/>
                <w:color w:val="auto"/>
              </w:rPr>
            </w:pP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$1.45 billion to $1.5 billion</w:t>
            </w:r>
          </w:p>
        </w:tc>
        <w:tc>
          <w:tcPr>
            <w:tcW w:w="31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2"/>
        </w:trPr>
        <w:tc>
          <w:tcPr>
            <w:tcW w:w="1720" w:type="dxa"/>
            <w:vAlign w:val="bottom"/>
            <w:tcBorders>
              <w:left w:val="single" w:sz="8" w:color="auto"/>
              <w:bottom w:val="single" w:sz="8" w:color="auto"/>
              <w:right w:val="single" w:sz="8" w:color="auto"/>
            </w:tcBorders>
          </w:tcPr>
          <w:p>
            <w:pPr>
              <w:spacing w:after="0"/>
              <w:rPr>
                <w:sz w:val="11"/>
                <w:szCs w:val="11"/>
                <w:color w:val="auto"/>
              </w:rPr>
            </w:pPr>
          </w:p>
        </w:tc>
        <w:tc>
          <w:tcPr>
            <w:tcW w:w="3380" w:type="dxa"/>
            <w:vAlign w:val="bottom"/>
            <w:tcBorders>
              <w:bottom w:val="single" w:sz="8" w:color="auto"/>
              <w:right w:val="single" w:sz="8" w:color="auto"/>
            </w:tcBorders>
            <w:vMerge w:val="continue"/>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(no change)</w:t>
            </w: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20" w:type="dxa"/>
            <w:vAlign w:val="bottom"/>
            <w:tcBorders>
              <w:left w:val="single" w:sz="8" w:color="auto"/>
              <w:bottom w:val="single" w:sz="8" w:color="auto"/>
              <w:right w:val="single" w:sz="8" w:color="auto"/>
            </w:tcBorders>
            <w:shd w:val="clear" w:color="auto" w:fill="ACACAC"/>
          </w:tcPr>
          <w:p>
            <w:pPr>
              <w:spacing w:after="0"/>
              <w:rPr>
                <w:sz w:val="10"/>
                <w:szCs w:val="10"/>
                <w:color w:val="auto"/>
              </w:rPr>
            </w:pPr>
          </w:p>
        </w:tc>
        <w:tc>
          <w:tcPr>
            <w:tcW w:w="3380" w:type="dxa"/>
            <w:vAlign w:val="bottom"/>
            <w:tcBorders>
              <w:bottom w:val="single" w:sz="8" w:color="auto"/>
              <w:right w:val="single" w:sz="8" w:color="ACACAC"/>
            </w:tcBorders>
            <w:shd w:val="clear" w:color="auto" w:fill="ACACAC"/>
          </w:tcPr>
          <w:p>
            <w:pPr>
              <w:spacing w:after="0"/>
              <w:rPr>
                <w:sz w:val="10"/>
                <w:szCs w:val="10"/>
                <w:color w:val="auto"/>
              </w:rPr>
            </w:pPr>
          </w:p>
        </w:tc>
        <w:tc>
          <w:tcPr>
            <w:tcW w:w="1260" w:type="dxa"/>
            <w:vAlign w:val="bottom"/>
            <w:tcBorders>
              <w:bottom w:val="single" w:sz="8" w:color="auto"/>
            </w:tcBorders>
            <w:shd w:val="clear" w:color="auto" w:fill="ACACAC"/>
          </w:tcPr>
          <w:p>
            <w:pPr>
              <w:spacing w:after="0"/>
              <w:rPr>
                <w:sz w:val="10"/>
                <w:szCs w:val="10"/>
                <w:color w:val="auto"/>
              </w:rPr>
            </w:pPr>
          </w:p>
        </w:tc>
        <w:tc>
          <w:tcPr>
            <w:tcW w:w="1820" w:type="dxa"/>
            <w:vAlign w:val="bottom"/>
            <w:tcBorders>
              <w:bottom w:val="single" w:sz="8" w:color="auto"/>
              <w:right w:val="single" w:sz="8" w:color="auto"/>
            </w:tcBorders>
            <w:shd w:val="clear" w:color="auto" w:fill="ACACAC"/>
          </w:tcPr>
          <w:p>
            <w:pPr>
              <w:spacing w:after="0"/>
              <w:rPr>
                <w:sz w:val="10"/>
                <w:szCs w:val="10"/>
                <w:color w:val="auto"/>
              </w:rPr>
            </w:pPr>
          </w:p>
        </w:tc>
        <w:tc>
          <w:tcPr>
            <w:tcW w:w="3140" w:type="dxa"/>
            <w:vAlign w:val="bottom"/>
            <w:tcBorders>
              <w:bottom w:val="single" w:sz="8" w:color="auto"/>
              <w:right w:val="single" w:sz="8" w:color="auto"/>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Effective tax rate</w:t>
            </w: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22.1% to 22.7% (no change)</w:t>
            </w:r>
          </w:p>
        </w:tc>
        <w:tc>
          <w:tcPr>
            <w:tcW w:w="182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720" w:type="dxa"/>
            <w:vAlign w:val="bottom"/>
            <w:tcBorders>
              <w:left w:val="single" w:sz="8" w:color="auto"/>
              <w:bottom w:val="single" w:sz="8" w:color="auto"/>
              <w:right w:val="single" w:sz="8" w:color="auto"/>
            </w:tcBorders>
            <w:shd w:val="clear" w:color="auto" w:fill="ACACAC"/>
          </w:tcPr>
          <w:p>
            <w:pPr>
              <w:spacing w:after="0"/>
              <w:rPr>
                <w:sz w:val="10"/>
                <w:szCs w:val="10"/>
                <w:color w:val="auto"/>
              </w:rPr>
            </w:pPr>
          </w:p>
        </w:tc>
        <w:tc>
          <w:tcPr>
            <w:tcW w:w="3380" w:type="dxa"/>
            <w:vAlign w:val="bottom"/>
            <w:tcBorders>
              <w:bottom w:val="single" w:sz="8" w:color="auto"/>
              <w:right w:val="single" w:sz="8" w:color="ACACAC"/>
            </w:tcBorders>
            <w:shd w:val="clear" w:color="auto" w:fill="ACACAC"/>
          </w:tcPr>
          <w:p>
            <w:pPr>
              <w:spacing w:after="0"/>
              <w:rPr>
                <w:sz w:val="10"/>
                <w:szCs w:val="10"/>
                <w:color w:val="auto"/>
              </w:rPr>
            </w:pPr>
          </w:p>
        </w:tc>
        <w:tc>
          <w:tcPr>
            <w:tcW w:w="1260" w:type="dxa"/>
            <w:vAlign w:val="bottom"/>
            <w:tcBorders>
              <w:bottom w:val="single" w:sz="8" w:color="auto"/>
            </w:tcBorders>
            <w:shd w:val="clear" w:color="auto" w:fill="ACACAC"/>
          </w:tcPr>
          <w:p>
            <w:pPr>
              <w:spacing w:after="0"/>
              <w:rPr>
                <w:sz w:val="10"/>
                <w:szCs w:val="10"/>
                <w:color w:val="auto"/>
              </w:rPr>
            </w:pPr>
          </w:p>
        </w:tc>
        <w:tc>
          <w:tcPr>
            <w:tcW w:w="1820" w:type="dxa"/>
            <w:vAlign w:val="bottom"/>
            <w:tcBorders>
              <w:bottom w:val="single" w:sz="8" w:color="auto"/>
              <w:right w:val="single" w:sz="8" w:color="auto"/>
            </w:tcBorders>
            <w:shd w:val="clear" w:color="auto" w:fill="ACACAC"/>
          </w:tcPr>
          <w:p>
            <w:pPr>
              <w:spacing w:after="0"/>
              <w:rPr>
                <w:sz w:val="10"/>
                <w:szCs w:val="10"/>
                <w:color w:val="auto"/>
              </w:rPr>
            </w:pPr>
          </w:p>
        </w:tc>
        <w:tc>
          <w:tcPr>
            <w:tcW w:w="3140" w:type="dxa"/>
            <w:vAlign w:val="bottom"/>
            <w:tcBorders>
              <w:bottom w:val="single" w:sz="8" w:color="auto"/>
              <w:right w:val="single" w:sz="8" w:color="auto"/>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1720" w:type="dxa"/>
            <w:vAlign w:val="bottom"/>
            <w:tcBorders>
              <w:left w:val="single" w:sz="8" w:color="auto"/>
              <w:right w:val="single" w:sz="8" w:color="auto"/>
            </w:tcBorders>
          </w:tcPr>
          <w:p>
            <w:pPr>
              <w:ind w:left="20"/>
              <w:spacing w:after="0" w:line="97" w:lineRule="exact"/>
              <w:rPr>
                <w:sz w:val="20"/>
                <w:szCs w:val="20"/>
                <w:color w:val="auto"/>
              </w:rPr>
            </w:pPr>
            <w:r>
              <w:rPr>
                <w:rFonts w:ascii="Arial" w:cs="Arial" w:eastAsia="Arial" w:hAnsi="Arial"/>
                <w:sz w:val="11"/>
                <w:szCs w:val="11"/>
                <w:b w:val="1"/>
                <w:bCs w:val="1"/>
                <w:color w:val="auto"/>
              </w:rPr>
              <w:t>Weighted average share count</w:t>
            </w:r>
          </w:p>
        </w:tc>
        <w:tc>
          <w:tcPr>
            <w:tcW w:w="4640" w:type="dxa"/>
            <w:vAlign w:val="bottom"/>
            <w:gridSpan w:val="2"/>
            <w:vMerge w:val="restart"/>
          </w:tcPr>
          <w:p>
            <w:pPr>
              <w:ind w:left="40"/>
              <w:spacing w:after="0"/>
              <w:rPr>
                <w:sz w:val="20"/>
                <w:szCs w:val="20"/>
                <w:color w:val="auto"/>
              </w:rPr>
            </w:pPr>
            <w:r>
              <w:rPr>
                <w:rFonts w:ascii="Arial" w:cs="Arial" w:eastAsia="Arial" w:hAnsi="Arial"/>
                <w:sz w:val="11"/>
                <w:szCs w:val="11"/>
                <w:color w:val="auto"/>
              </w:rPr>
              <w:t>128.6 million to 129.6 million (no change)</w:t>
            </w:r>
          </w:p>
        </w:tc>
        <w:tc>
          <w:tcPr>
            <w:tcW w:w="1820" w:type="dxa"/>
            <w:vAlign w:val="bottom"/>
            <w:tcBorders>
              <w:right w:val="single" w:sz="8" w:color="auto"/>
            </w:tcBorders>
          </w:tcPr>
          <w:p>
            <w:pPr>
              <w:spacing w:after="0"/>
              <w:rPr>
                <w:sz w:val="8"/>
                <w:szCs w:val="8"/>
                <w:color w:val="auto"/>
              </w:rPr>
            </w:pPr>
          </w:p>
        </w:tc>
        <w:tc>
          <w:tcPr>
            <w:tcW w:w="3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172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rPr>
              <w:t>for diluted EPS</w:t>
            </w:r>
          </w:p>
        </w:tc>
        <w:tc>
          <w:tcPr>
            <w:tcW w:w="4640" w:type="dxa"/>
            <w:vAlign w:val="bottom"/>
            <w:gridSpan w:val="2"/>
            <w:vMerge w:val="continue"/>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3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72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31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720" w:type="dxa"/>
            <w:vAlign w:val="bottom"/>
            <w:tcBorders>
              <w:left w:val="single" w:sz="8" w:color="auto"/>
              <w:bottom w:val="single" w:sz="8" w:color="auto"/>
              <w:right w:val="single" w:sz="8" w:color="auto"/>
            </w:tcBorders>
            <w:shd w:val="clear" w:color="auto" w:fill="ACACAC"/>
          </w:tcPr>
          <w:p>
            <w:pPr>
              <w:spacing w:after="0"/>
              <w:rPr>
                <w:sz w:val="10"/>
                <w:szCs w:val="10"/>
                <w:color w:val="auto"/>
              </w:rPr>
            </w:pPr>
          </w:p>
        </w:tc>
        <w:tc>
          <w:tcPr>
            <w:tcW w:w="3380" w:type="dxa"/>
            <w:vAlign w:val="bottom"/>
            <w:tcBorders>
              <w:bottom w:val="single" w:sz="8" w:color="auto"/>
              <w:right w:val="single" w:sz="8" w:color="ACACAC"/>
            </w:tcBorders>
            <w:shd w:val="clear" w:color="auto" w:fill="ACACAC"/>
          </w:tcPr>
          <w:p>
            <w:pPr>
              <w:spacing w:after="0"/>
              <w:rPr>
                <w:sz w:val="10"/>
                <w:szCs w:val="10"/>
                <w:color w:val="auto"/>
              </w:rPr>
            </w:pPr>
          </w:p>
        </w:tc>
        <w:tc>
          <w:tcPr>
            <w:tcW w:w="1260" w:type="dxa"/>
            <w:vAlign w:val="bottom"/>
            <w:tcBorders>
              <w:bottom w:val="single" w:sz="8" w:color="auto"/>
            </w:tcBorders>
            <w:shd w:val="clear" w:color="auto" w:fill="ACACAC"/>
          </w:tcPr>
          <w:p>
            <w:pPr>
              <w:spacing w:after="0"/>
              <w:rPr>
                <w:sz w:val="10"/>
                <w:szCs w:val="10"/>
                <w:color w:val="auto"/>
              </w:rPr>
            </w:pPr>
          </w:p>
        </w:tc>
        <w:tc>
          <w:tcPr>
            <w:tcW w:w="1820" w:type="dxa"/>
            <w:vAlign w:val="bottom"/>
            <w:tcBorders>
              <w:bottom w:val="single" w:sz="8" w:color="auto"/>
              <w:right w:val="single" w:sz="8" w:color="auto"/>
            </w:tcBorders>
            <w:shd w:val="clear" w:color="auto" w:fill="ACACAC"/>
          </w:tcPr>
          <w:p>
            <w:pPr>
              <w:spacing w:after="0"/>
              <w:rPr>
                <w:sz w:val="10"/>
                <w:szCs w:val="10"/>
                <w:color w:val="auto"/>
              </w:rPr>
            </w:pPr>
          </w:p>
        </w:tc>
        <w:tc>
          <w:tcPr>
            <w:tcW w:w="3140" w:type="dxa"/>
            <w:vAlign w:val="bottom"/>
            <w:tcBorders>
              <w:bottom w:val="single" w:sz="8" w:color="auto"/>
              <w:right w:val="single" w:sz="8" w:color="auto"/>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Cash flows from operations</w:t>
            </w: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$4.0 billion to $4.5 billion (no change)</w:t>
            </w:r>
          </w:p>
        </w:tc>
        <w:tc>
          <w:tcPr>
            <w:tcW w:w="182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720" w:type="dxa"/>
            <w:vAlign w:val="bottom"/>
            <w:tcBorders>
              <w:left w:val="single" w:sz="8" w:color="auto"/>
              <w:bottom w:val="single" w:sz="8" w:color="auto"/>
              <w:right w:val="single" w:sz="8" w:color="auto"/>
            </w:tcBorders>
            <w:shd w:val="clear" w:color="auto" w:fill="ACACAC"/>
          </w:tcPr>
          <w:p>
            <w:pPr>
              <w:spacing w:after="0"/>
              <w:rPr>
                <w:sz w:val="10"/>
                <w:szCs w:val="10"/>
                <w:color w:val="auto"/>
              </w:rPr>
            </w:pPr>
          </w:p>
        </w:tc>
        <w:tc>
          <w:tcPr>
            <w:tcW w:w="3380" w:type="dxa"/>
            <w:vAlign w:val="bottom"/>
            <w:tcBorders>
              <w:bottom w:val="single" w:sz="8" w:color="auto"/>
              <w:right w:val="single" w:sz="8" w:color="ACACAC"/>
            </w:tcBorders>
            <w:shd w:val="clear" w:color="auto" w:fill="ACACAC"/>
          </w:tcPr>
          <w:p>
            <w:pPr>
              <w:spacing w:after="0"/>
              <w:rPr>
                <w:sz w:val="10"/>
                <w:szCs w:val="10"/>
                <w:color w:val="auto"/>
              </w:rPr>
            </w:pPr>
          </w:p>
        </w:tc>
        <w:tc>
          <w:tcPr>
            <w:tcW w:w="1260" w:type="dxa"/>
            <w:vAlign w:val="bottom"/>
            <w:tcBorders>
              <w:bottom w:val="single" w:sz="8" w:color="auto"/>
            </w:tcBorders>
            <w:shd w:val="clear" w:color="auto" w:fill="ACACAC"/>
          </w:tcPr>
          <w:p>
            <w:pPr>
              <w:spacing w:after="0"/>
              <w:rPr>
                <w:sz w:val="10"/>
                <w:szCs w:val="10"/>
                <w:color w:val="auto"/>
              </w:rPr>
            </w:pPr>
          </w:p>
        </w:tc>
        <w:tc>
          <w:tcPr>
            <w:tcW w:w="1820" w:type="dxa"/>
            <w:vAlign w:val="bottom"/>
            <w:tcBorders>
              <w:bottom w:val="single" w:sz="8" w:color="auto"/>
              <w:right w:val="single" w:sz="8" w:color="auto"/>
            </w:tcBorders>
            <w:shd w:val="clear" w:color="auto" w:fill="ACACAC"/>
          </w:tcPr>
          <w:p>
            <w:pPr>
              <w:spacing w:after="0"/>
              <w:rPr>
                <w:sz w:val="10"/>
                <w:szCs w:val="10"/>
                <w:color w:val="auto"/>
              </w:rPr>
            </w:pPr>
          </w:p>
        </w:tc>
        <w:tc>
          <w:tcPr>
            <w:tcW w:w="3140" w:type="dxa"/>
            <w:vAlign w:val="bottom"/>
            <w:tcBorders>
              <w:bottom w:val="single" w:sz="8" w:color="auto"/>
              <w:right w:val="single" w:sz="8" w:color="auto"/>
            </w:tcBorders>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1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Capital expenditures</w:t>
            </w: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$1.1 billion to $1.2 billion (no change)</w:t>
            </w:r>
          </w:p>
        </w:tc>
        <w:tc>
          <w:tcPr>
            <w:tcW w:w="1820" w:type="dxa"/>
            <w:vAlign w:val="bottom"/>
            <w:tcBorders>
              <w:bottom w:val="single" w:sz="8" w:color="auto"/>
              <w:right w:val="single" w:sz="8" w:color="auto"/>
            </w:tcBorders>
          </w:tcPr>
          <w:p>
            <w:pPr>
              <w:spacing w:after="0"/>
              <w:rPr>
                <w:sz w:val="11"/>
                <w:szCs w:val="11"/>
                <w:color w:val="auto"/>
              </w:rPr>
            </w:pPr>
          </w:p>
        </w:tc>
        <w:tc>
          <w:tcPr>
            <w:tcW w:w="31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300"/>
          </w:cols>
          <w:pgMar w:left="300" w:top="785" w:right="2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48"/>
          <w:szCs w:val="48"/>
          <w:color w:val="auto"/>
        </w:rPr>
        <w:t>Humana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48"/>
          <w:szCs w:val="48"/>
          <w:color w:val="auto"/>
        </w:rPr>
        <w:t>Statistical Schedules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48"/>
          <w:szCs w:val="48"/>
          <w:color w:val="auto"/>
        </w:rPr>
        <w:t>And</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47"/>
          <w:szCs w:val="47"/>
          <w:color w:val="auto"/>
        </w:rPr>
        <w:t>Supplementary Information</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48"/>
          <w:szCs w:val="48"/>
          <w:color w:val="auto"/>
        </w:rPr>
        <w:t>1Q21 Earnings Release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w:t>
      </w:r>
    </w:p>
    <w:p>
      <w:pPr>
        <w:sectPr>
          <w:pgSz w:w="11900" w:h="16838" w:orient="portrait"/>
          <w:cols w:equalWidth="0" w:num="1">
            <w:col w:w="9019"/>
          </w:cols>
          <w:pgMar w:left="1440" w:top="1125" w:right="1440" w:bottom="1440" w:gutter="0" w:footer="0" w:header="0"/>
        </w:sectPr>
      </w:pPr>
    </w:p>
    <w:bookmarkStart w:id="32" w:name="page33"/>
    <w:bookmarkEnd w:id="32"/>
    <w:p>
      <w:pPr>
        <w:ind w:left="1700"/>
        <w:spacing w:after="0"/>
        <w:rPr>
          <w:sz w:val="20"/>
          <w:szCs w:val="20"/>
          <w:color w:val="auto"/>
        </w:rPr>
      </w:pPr>
      <w:r>
        <w:rPr>
          <w:rFonts w:ascii="Arial" w:cs="Arial" w:eastAsia="Arial" w:hAnsi="Arial"/>
          <w:sz w:val="18"/>
          <w:szCs w:val="18"/>
          <w:color w:val="auto"/>
        </w:rPr>
        <w:t>Humana Inc.</w:t>
      </w:r>
    </w:p>
    <w:p>
      <w:pPr>
        <w:ind w:left="1700"/>
        <w:spacing w:after="0" w:line="208" w:lineRule="auto"/>
        <w:rPr>
          <w:sz w:val="20"/>
          <w:szCs w:val="20"/>
          <w:color w:val="auto"/>
        </w:rPr>
      </w:pPr>
      <w:r>
        <w:rPr>
          <w:rFonts w:ascii="Arial" w:cs="Arial" w:eastAsia="Arial" w:hAnsi="Arial"/>
          <w:sz w:val="18"/>
          <w:szCs w:val="18"/>
          <w:color w:val="auto"/>
        </w:rPr>
        <w:t>Statistical Schedules and Supplementary Information 1Q21 Earnings</w:t>
      </w:r>
    </w:p>
    <w:p>
      <w:pPr>
        <w:spacing w:after="0" w:line="1"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Release</w:t>
      </w:r>
    </w:p>
    <w:p>
      <w:pPr>
        <w:spacing w:after="0" w:line="9"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Contents</w:t>
      </w:r>
    </w:p>
    <w:p>
      <w:pPr>
        <w:spacing w:after="0" w:line="186"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Consolidated Financial Statements</w:t>
      </w:r>
    </w:p>
    <w:p>
      <w:pPr>
        <w:spacing w:after="0" w:line="19" w:lineRule="exact"/>
        <w:rPr>
          <w:sz w:val="20"/>
          <w:szCs w:val="20"/>
          <w:color w:val="auto"/>
        </w:rPr>
      </w:pPr>
    </w:p>
    <w:p>
      <w:pPr>
        <w:ind w:left="2460" w:hanging="352"/>
        <w:spacing w:after="0"/>
        <w:tabs>
          <w:tab w:leader="none" w:pos="2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Consolidated Statements of Income (S-3)</w:t>
      </w:r>
    </w:p>
    <w:p>
      <w:pPr>
        <w:spacing w:after="0" w:line="19" w:lineRule="exact"/>
        <w:rPr>
          <w:rFonts w:ascii="Arial" w:cs="Arial" w:eastAsia="Arial" w:hAnsi="Arial"/>
          <w:sz w:val="14"/>
          <w:szCs w:val="14"/>
          <w:color w:val="auto"/>
        </w:rPr>
      </w:pPr>
    </w:p>
    <w:p>
      <w:pPr>
        <w:ind w:left="2460" w:hanging="352"/>
        <w:spacing w:after="0"/>
        <w:tabs>
          <w:tab w:leader="none" w:pos="2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Consolidated Balance Sheets (S-4)</w:t>
      </w:r>
    </w:p>
    <w:p>
      <w:pPr>
        <w:spacing w:after="0" w:line="19" w:lineRule="exact"/>
        <w:rPr>
          <w:rFonts w:ascii="Arial" w:cs="Arial" w:eastAsia="Arial" w:hAnsi="Arial"/>
          <w:sz w:val="14"/>
          <w:szCs w:val="14"/>
          <w:color w:val="auto"/>
        </w:rPr>
      </w:pPr>
    </w:p>
    <w:p>
      <w:pPr>
        <w:ind w:left="1700" w:right="3639" w:firstLine="408"/>
        <w:spacing w:after="0" w:line="268" w:lineRule="auto"/>
        <w:tabs>
          <w:tab w:leader="none" w:pos="2465"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Consolidated Statements of Cash Flows (S-5) Operating Results Detail</w:t>
      </w:r>
    </w:p>
    <w:p>
      <w:pPr>
        <w:ind w:left="2460" w:hanging="352"/>
        <w:spacing w:after="0"/>
        <w:tabs>
          <w:tab w:leader="none" w:pos="2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Consolidating Statements of Income - Quarter (S-6 - S-7)</w:t>
      </w:r>
    </w:p>
    <w:p>
      <w:pPr>
        <w:spacing w:after="0" w:line="19" w:lineRule="exact"/>
        <w:rPr>
          <w:rFonts w:ascii="Arial" w:cs="Arial" w:eastAsia="Arial" w:hAnsi="Arial"/>
          <w:sz w:val="14"/>
          <w:szCs w:val="14"/>
          <w:color w:val="auto"/>
        </w:rPr>
      </w:pPr>
    </w:p>
    <w:p>
      <w:pPr>
        <w:ind w:left="2460" w:hanging="352"/>
        <w:spacing w:after="0"/>
        <w:tabs>
          <w:tab w:leader="none" w:pos="2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Ending Membership Detail (S-8)</w:t>
      </w:r>
    </w:p>
    <w:p>
      <w:pPr>
        <w:spacing w:after="0" w:line="19" w:lineRule="exact"/>
        <w:rPr>
          <w:rFonts w:ascii="Arial" w:cs="Arial" w:eastAsia="Arial" w:hAnsi="Arial"/>
          <w:sz w:val="14"/>
          <w:szCs w:val="14"/>
          <w:color w:val="auto"/>
        </w:rPr>
      </w:pPr>
    </w:p>
    <w:p>
      <w:pPr>
        <w:ind w:left="2460" w:hanging="352"/>
        <w:spacing w:after="0"/>
        <w:tabs>
          <w:tab w:leader="none" w:pos="2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Premiums and Services Revenue Detail (S-9)</w:t>
      </w:r>
    </w:p>
    <w:p>
      <w:pPr>
        <w:spacing w:after="0" w:line="19" w:lineRule="exact"/>
        <w:rPr>
          <w:rFonts w:ascii="Arial" w:cs="Arial" w:eastAsia="Arial" w:hAnsi="Arial"/>
          <w:sz w:val="14"/>
          <w:szCs w:val="14"/>
          <w:color w:val="auto"/>
        </w:rPr>
      </w:pPr>
    </w:p>
    <w:p>
      <w:pPr>
        <w:ind w:left="2460" w:hanging="352"/>
        <w:spacing w:after="0"/>
        <w:tabs>
          <w:tab w:leader="none" w:pos="2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Healthcare Services Segment and Provider Partner Metrics (S-10)</w:t>
      </w:r>
    </w:p>
    <w:p>
      <w:pPr>
        <w:spacing w:after="0" w:line="19" w:lineRule="exact"/>
        <w:rPr>
          <w:rFonts w:ascii="Arial" w:cs="Arial" w:eastAsia="Arial" w:hAnsi="Arial"/>
          <w:sz w:val="14"/>
          <w:szCs w:val="14"/>
          <w:color w:val="auto"/>
        </w:rPr>
      </w:pPr>
    </w:p>
    <w:p>
      <w:pPr>
        <w:ind w:left="2460" w:hanging="352"/>
        <w:spacing w:after="0"/>
        <w:tabs>
          <w:tab w:leader="none" w:pos="24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Healthcare Services Segment Metrics (S-11)</w:t>
      </w:r>
    </w:p>
    <w:p>
      <w:pPr>
        <w:spacing w:after="0" w:line="199" w:lineRule="exact"/>
        <w:rPr>
          <w:sz w:val="20"/>
          <w:szCs w:val="20"/>
          <w:color w:val="auto"/>
        </w:rPr>
      </w:pPr>
    </w:p>
    <w:p>
      <w:pPr>
        <w:ind w:left="1700" w:right="3299" w:firstLine="408"/>
        <w:spacing w:after="0" w:line="285" w:lineRule="auto"/>
        <w:tabs>
          <w:tab w:leader="none" w:pos="2465" w:val="left"/>
        </w:tabs>
        <w:numPr>
          <w:ilvl w:val="0"/>
          <w:numId w:val="46"/>
        </w:numPr>
        <w:rPr>
          <w:rFonts w:ascii="Arial" w:cs="Arial" w:eastAsia="Arial" w:hAnsi="Arial"/>
          <w:sz w:val="14"/>
          <w:szCs w:val="14"/>
          <w:color w:val="auto"/>
        </w:rPr>
      </w:pPr>
      <w:r>
        <w:rPr>
          <w:rFonts w:ascii="Arial" w:cs="Arial" w:eastAsia="Arial" w:hAnsi="Arial"/>
          <w:sz w:val="14"/>
          <w:szCs w:val="14"/>
          <w:color w:val="auto"/>
        </w:rPr>
        <w:t>Benefits Payable Detail and Statistics (S-12 - S-13) Footnotes (S-14)</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S-2</w:t>
      </w:r>
    </w:p>
    <w:p>
      <w:pPr>
        <w:sectPr>
          <w:pgSz w:w="11900" w:h="16838" w:orient="portrait"/>
          <w:cols w:equalWidth="0" w:num="1">
            <w:col w:w="9019"/>
          </w:cols>
          <w:pgMar w:left="1440" w:top="787" w:right="1440"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Humana Inc.</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Consolidated Statements of Income</w:t>
      </w:r>
    </w:p>
    <w:p>
      <w:pPr>
        <w:spacing w:after="0"/>
        <w:rPr>
          <w:sz w:val="20"/>
          <w:szCs w:val="20"/>
          <w:color w:val="auto"/>
        </w:rPr>
      </w:pPr>
      <w:r>
        <w:rPr>
          <w:rFonts w:ascii="Arial" w:cs="Arial" w:eastAsia="Arial" w:hAnsi="Arial"/>
          <w:sz w:val="13"/>
          <w:szCs w:val="13"/>
          <w:i w:val="1"/>
          <w:iCs w:val="1"/>
          <w:color w:val="auto"/>
        </w:rPr>
        <w:t>Dollars in millions, except per common share results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80" w:type="dxa"/>
            <w:vAlign w:val="bottom"/>
            <w:tcBorders>
              <w:right w:val="single" w:sz="8" w:color="auto"/>
            </w:tcBorders>
          </w:tcPr>
          <w:p>
            <w:pPr>
              <w:spacing w:after="0"/>
              <w:rPr>
                <w:sz w:val="14"/>
                <w:szCs w:val="14"/>
                <w:color w:val="auto"/>
              </w:rPr>
            </w:pPr>
          </w:p>
        </w:tc>
        <w:tc>
          <w:tcPr>
            <w:tcW w:w="3320" w:type="dxa"/>
            <w:vAlign w:val="bottom"/>
            <w:tcBorders>
              <w:top w:val="single" w:sz="8" w:color="auto"/>
              <w:bottom w:val="single" w:sz="8" w:color="auto"/>
              <w:right w:val="single" w:sz="8" w:color="auto"/>
            </w:tcBorders>
            <w:gridSpan w:val="4"/>
          </w:tcPr>
          <w:p>
            <w:pPr>
              <w:jc w:val="right"/>
              <w:ind w:right="434"/>
              <w:spacing w:after="0"/>
              <w:rPr>
                <w:sz w:val="20"/>
                <w:szCs w:val="20"/>
                <w:color w:val="auto"/>
              </w:rPr>
            </w:pPr>
            <w:r>
              <w:rPr>
                <w:rFonts w:ascii="Arial" w:cs="Arial" w:eastAsia="Arial" w:hAnsi="Arial"/>
                <w:sz w:val="13"/>
                <w:szCs w:val="13"/>
                <w:b w:val="1"/>
                <w:bCs w:val="1"/>
                <w:color w:val="auto"/>
              </w:rPr>
              <w:t>For the three months ended March 31,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314"/>
              <w:spacing w:after="0" w:line="142" w:lineRule="exact"/>
              <w:rPr>
                <w:sz w:val="20"/>
                <w:szCs w:val="20"/>
                <w:color w:val="auto"/>
              </w:rPr>
            </w:pPr>
            <w:r>
              <w:rPr>
                <w:rFonts w:ascii="Arial" w:cs="Arial" w:eastAsia="Arial" w:hAnsi="Arial"/>
                <w:sz w:val="13"/>
                <w:szCs w:val="13"/>
                <w:color w:val="auto"/>
              </w:rPr>
              <w:t>Dollar</w:t>
            </w:r>
          </w:p>
        </w:tc>
        <w:tc>
          <w:tcPr>
            <w:tcW w:w="1240" w:type="dxa"/>
            <w:vAlign w:val="bottom"/>
          </w:tcPr>
          <w:p>
            <w:pPr>
              <w:jc w:val="right"/>
              <w:ind w:right="214"/>
              <w:spacing w:after="0" w:line="142" w:lineRule="exact"/>
              <w:rPr>
                <w:sz w:val="20"/>
                <w:szCs w:val="20"/>
                <w:color w:val="auto"/>
              </w:rPr>
            </w:pPr>
            <w:r>
              <w:rPr>
                <w:rFonts w:ascii="Arial" w:cs="Arial" w:eastAsia="Arial" w:hAnsi="Arial"/>
                <w:sz w:val="13"/>
                <w:szCs w:val="13"/>
                <w:color w:val="auto"/>
              </w:rPr>
              <w:t>Percentage</w:t>
            </w:r>
          </w:p>
        </w:tc>
        <w:tc>
          <w:tcPr>
            <w:tcW w:w="0" w:type="dxa"/>
            <w:vAlign w:val="bottom"/>
          </w:tcPr>
          <w:p>
            <w:pPr>
              <w:spacing w:after="0"/>
              <w:rPr>
                <w:sz w:val="1"/>
                <w:szCs w:val="1"/>
                <w:color w:val="auto"/>
              </w:rPr>
            </w:pPr>
          </w:p>
        </w:tc>
      </w:tr>
      <w:tr>
        <w:trPr>
          <w:trHeight w:val="151"/>
        </w:trPr>
        <w:tc>
          <w:tcPr>
            <w:tcW w:w="5580" w:type="dxa"/>
            <w:vAlign w:val="bottom"/>
            <w:tcBorders>
              <w:right w:val="single" w:sz="8" w:color="auto"/>
            </w:tcBorders>
          </w:tcPr>
          <w:p>
            <w:pPr>
              <w:spacing w:after="0"/>
              <w:rPr>
                <w:sz w:val="13"/>
                <w:szCs w:val="13"/>
                <w:color w:val="auto"/>
              </w:rPr>
            </w:pPr>
          </w:p>
        </w:tc>
        <w:tc>
          <w:tcPr>
            <w:tcW w:w="102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00497F"/>
              </w:rPr>
              <w:t>2021</w:t>
            </w:r>
          </w:p>
        </w:tc>
        <w:tc>
          <w:tcPr>
            <w:tcW w:w="62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2020</w:t>
            </w: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color w:val="auto"/>
              </w:rPr>
              <w:t>Change</w:t>
            </w:r>
          </w:p>
        </w:tc>
        <w:tc>
          <w:tcPr>
            <w:tcW w:w="124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color w:val="auto"/>
              </w:rPr>
              <w:t>Change</w:t>
            </w:r>
          </w:p>
        </w:tc>
        <w:tc>
          <w:tcPr>
            <w:tcW w:w="0" w:type="dxa"/>
            <w:vAlign w:val="bottom"/>
          </w:tcPr>
          <w:p>
            <w:pPr>
              <w:spacing w:after="0"/>
              <w:rPr>
                <w:sz w:val="1"/>
                <w:szCs w:val="1"/>
                <w:color w:val="auto"/>
              </w:rPr>
            </w:pPr>
          </w:p>
        </w:tc>
      </w:tr>
      <w:tr>
        <w:trPr>
          <w:trHeight w:val="144"/>
        </w:trPr>
        <w:tc>
          <w:tcPr>
            <w:tcW w:w="5580" w:type="dxa"/>
            <w:vAlign w:val="bottom"/>
            <w:tcBorders>
              <w:right w:val="single" w:sz="8" w:color="auto"/>
            </w:tcBorders>
          </w:tcPr>
          <w:p>
            <w:pPr>
              <w:spacing w:after="0" w:line="144" w:lineRule="exact"/>
              <w:rPr>
                <w:sz w:val="20"/>
                <w:szCs w:val="20"/>
                <w:color w:val="auto"/>
              </w:rPr>
            </w:pPr>
            <w:r>
              <w:rPr>
                <w:rFonts w:ascii="Arial" w:cs="Arial" w:eastAsia="Arial" w:hAnsi="Arial"/>
                <w:sz w:val="13"/>
                <w:szCs w:val="13"/>
                <w:color w:val="auto"/>
              </w:rPr>
              <w:t>Revenues:</w:t>
            </w:r>
          </w:p>
        </w:tc>
        <w:tc>
          <w:tcPr>
            <w:tcW w:w="1020" w:type="dxa"/>
            <w:vAlign w:val="bottom"/>
            <w:vMerge w:val="restart"/>
          </w:tcPr>
          <w:p>
            <w:pPr>
              <w:jc w:val="right"/>
              <w:ind w:right="905"/>
              <w:spacing w:after="0"/>
              <w:rPr>
                <w:sz w:val="20"/>
                <w:szCs w:val="20"/>
                <w:color w:val="auto"/>
              </w:rPr>
            </w:pPr>
            <w:r>
              <w:rPr>
                <w:rFonts w:ascii="Arial" w:cs="Arial" w:eastAsia="Arial" w:hAnsi="Arial"/>
                <w:sz w:val="10"/>
                <w:szCs w:val="10"/>
                <w:b w:val="1"/>
                <w:bCs w:val="1"/>
                <w:color w:val="00497F"/>
                <w:w w:val="71"/>
              </w:rPr>
              <w:t>$</w:t>
            </w: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00497F"/>
              </w:rPr>
              <w:t>20,124</w:t>
            </w: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58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Premiums</w:t>
            </w:r>
          </w:p>
        </w:tc>
        <w:tc>
          <w:tcPr>
            <w:tcW w:w="1020" w:type="dxa"/>
            <w:vAlign w:val="bottom"/>
            <w:vMerge w:val="continue"/>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1060" w:type="dxa"/>
            <w:vAlign w:val="bottom"/>
          </w:tcPr>
          <w:p>
            <w:pPr>
              <w:jc w:val="right"/>
              <w:ind w:right="914"/>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18,362</w:t>
            </w:r>
          </w:p>
        </w:tc>
        <w:tc>
          <w:tcPr>
            <w:tcW w:w="60" w:type="dxa"/>
            <w:vAlign w:val="bottom"/>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1,762</w:t>
            </w:r>
          </w:p>
        </w:tc>
        <w:tc>
          <w:tcPr>
            <w:tcW w:w="1240" w:type="dxa"/>
            <w:vAlign w:val="bottom"/>
          </w:tcPr>
          <w:p>
            <w:pPr>
              <w:jc w:val="right"/>
              <w:spacing w:after="0"/>
              <w:rPr>
                <w:sz w:val="20"/>
                <w:szCs w:val="20"/>
                <w:color w:val="auto"/>
              </w:rPr>
            </w:pPr>
            <w:r>
              <w:rPr>
                <w:rFonts w:ascii="Arial" w:cs="Arial" w:eastAsia="Arial" w:hAnsi="Arial"/>
                <w:sz w:val="13"/>
                <w:szCs w:val="13"/>
                <w:color w:val="auto"/>
              </w:rPr>
              <w:t>9.6 %</w:t>
            </w:r>
          </w:p>
        </w:tc>
        <w:tc>
          <w:tcPr>
            <w:tcW w:w="0" w:type="dxa"/>
            <w:vAlign w:val="bottom"/>
          </w:tcPr>
          <w:p>
            <w:pPr>
              <w:spacing w:after="0"/>
              <w:rPr>
                <w:sz w:val="1"/>
                <w:szCs w:val="1"/>
                <w:color w:val="auto"/>
              </w:rPr>
            </w:pPr>
          </w:p>
        </w:tc>
      </w:tr>
      <w:tr>
        <w:trPr>
          <w:trHeight w:val="162"/>
        </w:trPr>
        <w:tc>
          <w:tcPr>
            <w:tcW w:w="558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Services</w:t>
            </w:r>
          </w:p>
        </w:tc>
        <w:tc>
          <w:tcPr>
            <w:tcW w:w="1020" w:type="dxa"/>
            <w:vAlign w:val="bottom"/>
          </w:tcPr>
          <w:p>
            <w:pPr>
              <w:spacing w:after="0"/>
              <w:rPr>
                <w:sz w:val="14"/>
                <w:szCs w:val="14"/>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00497F"/>
              </w:rPr>
              <w:t>466</w:t>
            </w:r>
          </w:p>
        </w:tc>
        <w:tc>
          <w:tcPr>
            <w:tcW w:w="106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424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42</w:t>
            </w:r>
          </w:p>
        </w:tc>
        <w:tc>
          <w:tcPr>
            <w:tcW w:w="1240" w:type="dxa"/>
            <w:vAlign w:val="bottom"/>
          </w:tcPr>
          <w:p>
            <w:pPr>
              <w:jc w:val="right"/>
              <w:spacing w:after="0"/>
              <w:rPr>
                <w:sz w:val="20"/>
                <w:szCs w:val="20"/>
                <w:color w:val="auto"/>
              </w:rPr>
            </w:pPr>
            <w:r>
              <w:rPr>
                <w:rFonts w:ascii="Arial" w:cs="Arial" w:eastAsia="Arial" w:hAnsi="Arial"/>
                <w:sz w:val="13"/>
                <w:szCs w:val="13"/>
                <w:color w:val="auto"/>
              </w:rPr>
              <w:t>9.9 %</w:t>
            </w:r>
          </w:p>
        </w:tc>
        <w:tc>
          <w:tcPr>
            <w:tcW w:w="0" w:type="dxa"/>
            <w:vAlign w:val="bottom"/>
          </w:tcPr>
          <w:p>
            <w:pPr>
              <w:spacing w:after="0"/>
              <w:rPr>
                <w:sz w:val="1"/>
                <w:szCs w:val="1"/>
                <w:color w:val="auto"/>
              </w:rPr>
            </w:pPr>
          </w:p>
        </w:tc>
      </w:tr>
      <w:tr>
        <w:trPr>
          <w:trHeight w:val="171"/>
        </w:trPr>
        <w:tc>
          <w:tcPr>
            <w:tcW w:w="558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Investment income</w:t>
            </w: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78</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149</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240" w:type="dxa"/>
            <w:vAlign w:val="bottom"/>
          </w:tcPr>
          <w:p>
            <w:pPr>
              <w:jc w:val="right"/>
              <w:spacing w:after="0"/>
              <w:rPr>
                <w:sz w:val="20"/>
                <w:szCs w:val="20"/>
                <w:color w:val="auto"/>
              </w:rPr>
            </w:pPr>
            <w:r>
              <w:rPr>
                <w:rFonts w:ascii="Arial" w:cs="Arial" w:eastAsia="Arial" w:hAnsi="Arial"/>
                <w:sz w:val="13"/>
                <w:szCs w:val="13"/>
                <w:color w:val="auto"/>
              </w:rPr>
              <w:t>-47.7 %</w:t>
            </w:r>
          </w:p>
        </w:tc>
        <w:tc>
          <w:tcPr>
            <w:tcW w:w="0" w:type="dxa"/>
            <w:vAlign w:val="bottom"/>
          </w:tcPr>
          <w:p>
            <w:pPr>
              <w:spacing w:after="0"/>
              <w:rPr>
                <w:sz w:val="1"/>
                <w:szCs w:val="1"/>
                <w:color w:val="auto"/>
              </w:rPr>
            </w:pPr>
          </w:p>
        </w:tc>
      </w:tr>
      <w:tr>
        <w:trPr>
          <w:trHeight w:val="151"/>
        </w:trPr>
        <w:tc>
          <w:tcPr>
            <w:tcW w:w="5580" w:type="dxa"/>
            <w:vAlign w:val="bottom"/>
            <w:tcBorders>
              <w:right w:val="single" w:sz="8" w:color="auto"/>
            </w:tcBorders>
          </w:tcPr>
          <w:p>
            <w:pPr>
              <w:ind w:left="440"/>
              <w:spacing w:after="0"/>
              <w:rPr>
                <w:sz w:val="20"/>
                <w:szCs w:val="20"/>
                <w:color w:val="auto"/>
              </w:rPr>
            </w:pPr>
            <w:r>
              <w:rPr>
                <w:rFonts w:ascii="Arial" w:cs="Arial" w:eastAsia="Arial" w:hAnsi="Arial"/>
                <w:sz w:val="13"/>
                <w:szCs w:val="13"/>
                <w:b w:val="1"/>
                <w:bCs w:val="1"/>
                <w:color w:val="auto"/>
              </w:rPr>
              <w:t>Total revenues</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20,668</w:t>
            </w:r>
          </w:p>
        </w:tc>
        <w:tc>
          <w:tcPr>
            <w:tcW w:w="10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18,935</w:t>
            </w: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1,733</w:t>
            </w:r>
          </w:p>
        </w:tc>
        <w:tc>
          <w:tcPr>
            <w:tcW w:w="1240" w:type="dxa"/>
            <w:vAlign w:val="bottom"/>
          </w:tcPr>
          <w:p>
            <w:pPr>
              <w:jc w:val="right"/>
              <w:spacing w:after="0"/>
              <w:rPr>
                <w:sz w:val="20"/>
                <w:szCs w:val="20"/>
                <w:color w:val="auto"/>
              </w:rPr>
            </w:pPr>
            <w:r>
              <w:rPr>
                <w:rFonts w:ascii="Arial" w:cs="Arial" w:eastAsia="Arial" w:hAnsi="Arial"/>
                <w:sz w:val="13"/>
                <w:szCs w:val="13"/>
                <w:color w:val="auto"/>
              </w:rPr>
              <w:t>9.2 %</w:t>
            </w:r>
          </w:p>
        </w:tc>
        <w:tc>
          <w:tcPr>
            <w:tcW w:w="0" w:type="dxa"/>
            <w:vAlign w:val="bottom"/>
          </w:tcPr>
          <w:p>
            <w:pPr>
              <w:spacing w:after="0"/>
              <w:rPr>
                <w:sz w:val="1"/>
                <w:szCs w:val="1"/>
                <w:color w:val="auto"/>
              </w:rPr>
            </w:pPr>
          </w:p>
        </w:tc>
      </w:tr>
      <w:tr>
        <w:trPr>
          <w:trHeight w:val="144"/>
        </w:trPr>
        <w:tc>
          <w:tcPr>
            <w:tcW w:w="5580" w:type="dxa"/>
            <w:vAlign w:val="bottom"/>
            <w:tcBorders>
              <w:right w:val="single" w:sz="8" w:color="auto"/>
            </w:tcBorders>
          </w:tcPr>
          <w:p>
            <w:pPr>
              <w:spacing w:after="0" w:line="144" w:lineRule="exact"/>
              <w:rPr>
                <w:sz w:val="20"/>
                <w:szCs w:val="20"/>
                <w:color w:val="auto"/>
              </w:rPr>
            </w:pPr>
            <w:r>
              <w:rPr>
                <w:rFonts w:ascii="Arial" w:cs="Arial" w:eastAsia="Arial" w:hAnsi="Arial"/>
                <w:sz w:val="13"/>
                <w:szCs w:val="13"/>
                <w:color w:val="auto"/>
              </w:rPr>
              <w:t>Operating expenses:</w:t>
            </w:r>
          </w:p>
        </w:tc>
        <w:tc>
          <w:tcPr>
            <w:tcW w:w="1020" w:type="dxa"/>
            <w:vAlign w:val="bottom"/>
          </w:tcPr>
          <w:p>
            <w:pPr>
              <w:spacing w:after="0"/>
              <w:rPr>
                <w:sz w:val="12"/>
                <w:szCs w:val="12"/>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3"/>
                <w:szCs w:val="13"/>
                <w:b w:val="1"/>
                <w:bCs w:val="1"/>
                <w:color w:val="00497F"/>
              </w:rPr>
              <w:t>17,296</w:t>
            </w: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58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Benefits</w:t>
            </w:r>
          </w:p>
        </w:tc>
        <w:tc>
          <w:tcPr>
            <w:tcW w:w="1020" w:type="dxa"/>
            <w:vAlign w:val="bottom"/>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15,629</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1,667</w:t>
            </w:r>
          </w:p>
        </w:tc>
        <w:tc>
          <w:tcPr>
            <w:tcW w:w="1240" w:type="dxa"/>
            <w:vAlign w:val="bottom"/>
          </w:tcPr>
          <w:p>
            <w:pPr>
              <w:jc w:val="right"/>
              <w:spacing w:after="0"/>
              <w:rPr>
                <w:sz w:val="20"/>
                <w:szCs w:val="20"/>
                <w:color w:val="auto"/>
              </w:rPr>
            </w:pPr>
            <w:r>
              <w:rPr>
                <w:rFonts w:ascii="Arial" w:cs="Arial" w:eastAsia="Arial" w:hAnsi="Arial"/>
                <w:sz w:val="13"/>
                <w:szCs w:val="13"/>
                <w:color w:val="auto"/>
              </w:rPr>
              <w:t>10.7 %</w:t>
            </w:r>
          </w:p>
        </w:tc>
        <w:tc>
          <w:tcPr>
            <w:tcW w:w="0" w:type="dxa"/>
            <w:vAlign w:val="bottom"/>
          </w:tcPr>
          <w:p>
            <w:pPr>
              <w:spacing w:after="0"/>
              <w:rPr>
                <w:sz w:val="1"/>
                <w:szCs w:val="1"/>
                <w:color w:val="auto"/>
              </w:rPr>
            </w:pPr>
          </w:p>
        </w:tc>
      </w:tr>
      <w:tr>
        <w:trPr>
          <w:trHeight w:val="162"/>
        </w:trPr>
        <w:tc>
          <w:tcPr>
            <w:tcW w:w="558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Operating costs</w:t>
            </w:r>
          </w:p>
        </w:tc>
        <w:tc>
          <w:tcPr>
            <w:tcW w:w="1020" w:type="dxa"/>
            <w:vAlign w:val="bottom"/>
          </w:tcPr>
          <w:p>
            <w:pPr>
              <w:spacing w:after="0"/>
              <w:rPr>
                <w:sz w:val="14"/>
                <w:szCs w:val="14"/>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00497F"/>
              </w:rPr>
              <w:t>2,007</w:t>
            </w:r>
          </w:p>
        </w:tc>
        <w:tc>
          <w:tcPr>
            <w:tcW w:w="106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2,117</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(110)</w:t>
            </w:r>
          </w:p>
        </w:tc>
        <w:tc>
          <w:tcPr>
            <w:tcW w:w="1240" w:type="dxa"/>
            <w:vAlign w:val="bottom"/>
          </w:tcPr>
          <w:p>
            <w:pPr>
              <w:jc w:val="right"/>
              <w:spacing w:after="0"/>
              <w:rPr>
                <w:sz w:val="20"/>
                <w:szCs w:val="20"/>
                <w:color w:val="auto"/>
              </w:rPr>
            </w:pPr>
            <w:r>
              <w:rPr>
                <w:rFonts w:ascii="Arial" w:cs="Arial" w:eastAsia="Arial" w:hAnsi="Arial"/>
                <w:sz w:val="13"/>
                <w:szCs w:val="13"/>
                <w:color w:val="auto"/>
              </w:rPr>
              <w:t>-5.2 %</w:t>
            </w:r>
          </w:p>
        </w:tc>
        <w:tc>
          <w:tcPr>
            <w:tcW w:w="0" w:type="dxa"/>
            <w:vAlign w:val="bottom"/>
          </w:tcPr>
          <w:p>
            <w:pPr>
              <w:spacing w:after="0"/>
              <w:rPr>
                <w:sz w:val="1"/>
                <w:szCs w:val="1"/>
                <w:color w:val="auto"/>
              </w:rPr>
            </w:pPr>
          </w:p>
        </w:tc>
      </w:tr>
      <w:tr>
        <w:trPr>
          <w:trHeight w:val="171"/>
        </w:trPr>
        <w:tc>
          <w:tcPr>
            <w:tcW w:w="5580" w:type="dxa"/>
            <w:vAlign w:val="bottom"/>
            <w:tcBorders>
              <w:right w:val="single" w:sz="8" w:color="auto"/>
            </w:tcBorders>
          </w:tcPr>
          <w:p>
            <w:pPr>
              <w:ind w:left="220"/>
              <w:spacing w:after="0"/>
              <w:rPr>
                <w:sz w:val="20"/>
                <w:szCs w:val="20"/>
                <w:color w:val="auto"/>
              </w:rPr>
            </w:pPr>
            <w:r>
              <w:rPr>
                <w:rFonts w:ascii="Arial" w:cs="Arial" w:eastAsia="Arial" w:hAnsi="Arial"/>
                <w:sz w:val="13"/>
                <w:szCs w:val="13"/>
                <w:color w:val="auto"/>
              </w:rPr>
              <w:t>Depreciation and amortization</w:t>
            </w: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142</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115</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240" w:type="dxa"/>
            <w:vAlign w:val="bottom"/>
          </w:tcPr>
          <w:p>
            <w:pPr>
              <w:jc w:val="right"/>
              <w:spacing w:after="0"/>
              <w:rPr>
                <w:sz w:val="20"/>
                <w:szCs w:val="20"/>
                <w:color w:val="auto"/>
              </w:rPr>
            </w:pPr>
            <w:r>
              <w:rPr>
                <w:rFonts w:ascii="Arial" w:cs="Arial" w:eastAsia="Arial" w:hAnsi="Arial"/>
                <w:sz w:val="13"/>
                <w:szCs w:val="13"/>
                <w:color w:val="auto"/>
              </w:rPr>
              <w:t>23.5 %</w:t>
            </w:r>
          </w:p>
        </w:tc>
        <w:tc>
          <w:tcPr>
            <w:tcW w:w="0" w:type="dxa"/>
            <w:vAlign w:val="bottom"/>
          </w:tcPr>
          <w:p>
            <w:pPr>
              <w:spacing w:after="0"/>
              <w:rPr>
                <w:sz w:val="1"/>
                <w:szCs w:val="1"/>
                <w:color w:val="auto"/>
              </w:rPr>
            </w:pPr>
          </w:p>
        </w:tc>
      </w:tr>
      <w:tr>
        <w:trPr>
          <w:trHeight w:val="151"/>
        </w:trPr>
        <w:tc>
          <w:tcPr>
            <w:tcW w:w="5580" w:type="dxa"/>
            <w:vAlign w:val="bottom"/>
            <w:tcBorders>
              <w:right w:val="single" w:sz="8" w:color="auto"/>
            </w:tcBorders>
          </w:tcPr>
          <w:p>
            <w:pPr>
              <w:ind w:left="440"/>
              <w:spacing w:after="0"/>
              <w:rPr>
                <w:sz w:val="20"/>
                <w:szCs w:val="20"/>
                <w:color w:val="auto"/>
              </w:rPr>
            </w:pPr>
            <w:r>
              <w:rPr>
                <w:rFonts w:ascii="Arial" w:cs="Arial" w:eastAsia="Arial" w:hAnsi="Arial"/>
                <w:sz w:val="13"/>
                <w:szCs w:val="13"/>
                <w:b w:val="1"/>
                <w:bCs w:val="1"/>
                <w:color w:val="auto"/>
              </w:rPr>
              <w:t>Total operating expenses</w:t>
            </w:r>
          </w:p>
        </w:tc>
        <w:tc>
          <w:tcPr>
            <w:tcW w:w="102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19,445</w:t>
            </w:r>
          </w:p>
        </w:tc>
        <w:tc>
          <w:tcPr>
            <w:tcW w:w="10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17,861</w:t>
            </w: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1,584</w:t>
            </w:r>
          </w:p>
        </w:tc>
        <w:tc>
          <w:tcPr>
            <w:tcW w:w="1240" w:type="dxa"/>
            <w:vAlign w:val="bottom"/>
          </w:tcPr>
          <w:p>
            <w:pPr>
              <w:jc w:val="right"/>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142"/>
        </w:trPr>
        <w:tc>
          <w:tcPr>
            <w:tcW w:w="5580" w:type="dxa"/>
            <w:vAlign w:val="bottom"/>
            <w:tcBorders>
              <w:right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Income from operations</w:t>
            </w:r>
          </w:p>
        </w:tc>
        <w:tc>
          <w:tcPr>
            <w:tcW w:w="1020" w:type="dxa"/>
            <w:vAlign w:val="bottom"/>
          </w:tcPr>
          <w:p>
            <w:pPr>
              <w:spacing w:after="0"/>
              <w:rPr>
                <w:sz w:val="12"/>
                <w:szCs w:val="12"/>
                <w:color w:val="auto"/>
              </w:rPr>
            </w:pPr>
          </w:p>
        </w:tc>
        <w:tc>
          <w:tcPr>
            <w:tcW w:w="6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00497F"/>
              </w:rPr>
              <w:t>1,223</w:t>
            </w:r>
          </w:p>
        </w:tc>
        <w:tc>
          <w:tcPr>
            <w:tcW w:w="1060" w:type="dxa"/>
            <w:vAlign w:val="bottom"/>
          </w:tcPr>
          <w:p>
            <w:pPr>
              <w:spacing w:after="0"/>
              <w:rPr>
                <w:sz w:val="12"/>
                <w:szCs w:val="12"/>
                <w:color w:val="auto"/>
              </w:rPr>
            </w:pPr>
          </w:p>
        </w:tc>
        <w:tc>
          <w:tcPr>
            <w:tcW w:w="620" w:type="dxa"/>
            <w:vAlign w:val="bottom"/>
          </w:tcPr>
          <w:p>
            <w:pPr>
              <w:jc w:val="right"/>
              <w:ind w:right="14"/>
              <w:spacing w:after="0" w:line="142" w:lineRule="exact"/>
              <w:rPr>
                <w:sz w:val="20"/>
                <w:szCs w:val="20"/>
                <w:color w:val="auto"/>
              </w:rPr>
            </w:pPr>
            <w:r>
              <w:rPr>
                <w:rFonts w:ascii="Arial" w:cs="Arial" w:eastAsia="Arial" w:hAnsi="Arial"/>
                <w:sz w:val="13"/>
                <w:szCs w:val="13"/>
                <w:color w:val="auto"/>
              </w:rPr>
              <w:t>1,074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149</w:t>
            </w:r>
          </w:p>
        </w:tc>
        <w:tc>
          <w:tcPr>
            <w:tcW w:w="1240" w:type="dxa"/>
            <w:vAlign w:val="bottom"/>
          </w:tcPr>
          <w:p>
            <w:pPr>
              <w:jc w:val="right"/>
              <w:spacing w:after="0" w:line="142" w:lineRule="exact"/>
              <w:rPr>
                <w:sz w:val="20"/>
                <w:szCs w:val="20"/>
                <w:color w:val="auto"/>
              </w:rPr>
            </w:pPr>
            <w:r>
              <w:rPr>
                <w:rFonts w:ascii="Arial" w:cs="Arial" w:eastAsia="Arial" w:hAnsi="Arial"/>
                <w:sz w:val="13"/>
                <w:szCs w:val="13"/>
                <w:color w:val="auto"/>
              </w:rPr>
              <w:t>13.9 %</w:t>
            </w:r>
          </w:p>
        </w:tc>
        <w:tc>
          <w:tcPr>
            <w:tcW w:w="0" w:type="dxa"/>
            <w:vAlign w:val="bottom"/>
          </w:tcPr>
          <w:p>
            <w:pPr>
              <w:spacing w:after="0"/>
              <w:rPr>
                <w:sz w:val="1"/>
                <w:szCs w:val="1"/>
                <w:color w:val="auto"/>
              </w:rPr>
            </w:pPr>
          </w:p>
        </w:tc>
      </w:tr>
      <w:tr>
        <w:trPr>
          <w:trHeight w:val="162"/>
        </w:trPr>
        <w:tc>
          <w:tcPr>
            <w:tcW w:w="55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Interest expense</w:t>
            </w:r>
          </w:p>
        </w:tc>
        <w:tc>
          <w:tcPr>
            <w:tcW w:w="1020" w:type="dxa"/>
            <w:vAlign w:val="bottom"/>
          </w:tcPr>
          <w:p>
            <w:pPr>
              <w:spacing w:after="0"/>
              <w:rPr>
                <w:sz w:val="14"/>
                <w:szCs w:val="14"/>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00497F"/>
              </w:rPr>
              <w:t>68</w:t>
            </w:r>
          </w:p>
        </w:tc>
        <w:tc>
          <w:tcPr>
            <w:tcW w:w="106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60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1240" w:type="dxa"/>
            <w:vAlign w:val="bottom"/>
          </w:tcPr>
          <w:p>
            <w:pPr>
              <w:jc w:val="right"/>
              <w:spacing w:after="0"/>
              <w:rPr>
                <w:sz w:val="20"/>
                <w:szCs w:val="20"/>
                <w:color w:val="auto"/>
              </w:rPr>
            </w:pPr>
            <w:r>
              <w:rPr>
                <w:rFonts w:ascii="Arial" w:cs="Arial" w:eastAsia="Arial" w:hAnsi="Arial"/>
                <w:sz w:val="13"/>
                <w:szCs w:val="13"/>
                <w:color w:val="auto"/>
              </w:rPr>
              <w:t>13.3 %</w:t>
            </w:r>
          </w:p>
        </w:tc>
        <w:tc>
          <w:tcPr>
            <w:tcW w:w="0" w:type="dxa"/>
            <w:vAlign w:val="bottom"/>
          </w:tcPr>
          <w:p>
            <w:pPr>
              <w:spacing w:after="0"/>
              <w:rPr>
                <w:sz w:val="1"/>
                <w:szCs w:val="1"/>
                <w:color w:val="auto"/>
              </w:rPr>
            </w:pPr>
          </w:p>
        </w:tc>
      </w:tr>
      <w:tr>
        <w:trPr>
          <w:trHeight w:val="171"/>
        </w:trPr>
        <w:tc>
          <w:tcPr>
            <w:tcW w:w="55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Other expense, net (A)</w:t>
            </w: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115</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297</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w:t>
            </w:r>
          </w:p>
        </w:tc>
        <w:tc>
          <w:tcPr>
            <w:tcW w:w="1240" w:type="dxa"/>
            <w:vAlign w:val="bottom"/>
          </w:tcPr>
          <w:p>
            <w:pPr>
              <w:jc w:val="right"/>
              <w:spacing w:after="0"/>
              <w:rPr>
                <w:sz w:val="20"/>
                <w:szCs w:val="20"/>
                <w:color w:val="auto"/>
              </w:rPr>
            </w:pPr>
            <w:r>
              <w:rPr>
                <w:rFonts w:ascii="Arial" w:cs="Arial" w:eastAsia="Arial" w:hAnsi="Arial"/>
                <w:sz w:val="13"/>
                <w:szCs w:val="13"/>
                <w:color w:val="auto"/>
              </w:rPr>
              <w:t>-61.3 %</w:t>
            </w:r>
          </w:p>
        </w:tc>
        <w:tc>
          <w:tcPr>
            <w:tcW w:w="0" w:type="dxa"/>
            <w:vAlign w:val="bottom"/>
          </w:tcPr>
          <w:p>
            <w:pPr>
              <w:spacing w:after="0"/>
              <w:rPr>
                <w:sz w:val="1"/>
                <w:szCs w:val="1"/>
                <w:color w:val="auto"/>
              </w:rPr>
            </w:pPr>
          </w:p>
        </w:tc>
      </w:tr>
      <w:tr>
        <w:trPr>
          <w:trHeight w:val="142"/>
        </w:trPr>
        <w:tc>
          <w:tcPr>
            <w:tcW w:w="5580" w:type="dxa"/>
            <w:vAlign w:val="bottom"/>
            <w:tcBorders>
              <w:right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Income before income taxes and equity in net earnings</w:t>
            </w:r>
          </w:p>
        </w:tc>
        <w:tc>
          <w:tcPr>
            <w:tcW w:w="1020" w:type="dxa"/>
            <w:vAlign w:val="bottom"/>
          </w:tcPr>
          <w:p>
            <w:pPr>
              <w:spacing w:after="0"/>
              <w:rPr>
                <w:sz w:val="12"/>
                <w:szCs w:val="12"/>
                <w:color w:val="auto"/>
              </w:rPr>
            </w:pPr>
          </w:p>
        </w:tc>
        <w:tc>
          <w:tcPr>
            <w:tcW w:w="62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00497F"/>
              </w:rPr>
              <w:t>1,040</w:t>
            </w:r>
          </w:p>
        </w:tc>
        <w:tc>
          <w:tcPr>
            <w:tcW w:w="1060" w:type="dxa"/>
            <w:vAlign w:val="bottom"/>
          </w:tcPr>
          <w:p>
            <w:pPr>
              <w:spacing w:after="0"/>
              <w:rPr>
                <w:sz w:val="12"/>
                <w:szCs w:val="12"/>
                <w:color w:val="auto"/>
              </w:rPr>
            </w:pPr>
          </w:p>
        </w:tc>
        <w:tc>
          <w:tcPr>
            <w:tcW w:w="620" w:type="dxa"/>
            <w:vAlign w:val="bottom"/>
          </w:tcPr>
          <w:p>
            <w:pPr>
              <w:jc w:val="right"/>
              <w:ind w:right="14"/>
              <w:spacing w:after="0" w:line="142" w:lineRule="exact"/>
              <w:rPr>
                <w:sz w:val="20"/>
                <w:szCs w:val="20"/>
                <w:color w:val="auto"/>
              </w:rPr>
            </w:pPr>
            <w:r>
              <w:rPr>
                <w:rFonts w:ascii="Arial" w:cs="Arial" w:eastAsia="Arial" w:hAnsi="Arial"/>
                <w:sz w:val="13"/>
                <w:szCs w:val="13"/>
                <w:color w:val="auto"/>
              </w:rPr>
              <w:t>717</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323</w:t>
            </w:r>
          </w:p>
        </w:tc>
        <w:tc>
          <w:tcPr>
            <w:tcW w:w="1240" w:type="dxa"/>
            <w:vAlign w:val="bottom"/>
          </w:tcPr>
          <w:p>
            <w:pPr>
              <w:jc w:val="right"/>
              <w:spacing w:after="0" w:line="142" w:lineRule="exact"/>
              <w:rPr>
                <w:sz w:val="20"/>
                <w:szCs w:val="20"/>
                <w:color w:val="auto"/>
              </w:rPr>
            </w:pPr>
            <w:r>
              <w:rPr>
                <w:rFonts w:ascii="Arial" w:cs="Arial" w:eastAsia="Arial" w:hAnsi="Arial"/>
                <w:sz w:val="13"/>
                <w:szCs w:val="13"/>
                <w:color w:val="auto"/>
              </w:rPr>
              <w:t>45.0 %</w:t>
            </w:r>
          </w:p>
        </w:tc>
        <w:tc>
          <w:tcPr>
            <w:tcW w:w="0" w:type="dxa"/>
            <w:vAlign w:val="bottom"/>
          </w:tcPr>
          <w:p>
            <w:pPr>
              <w:spacing w:after="0"/>
              <w:rPr>
                <w:sz w:val="1"/>
                <w:szCs w:val="1"/>
                <w:color w:val="auto"/>
              </w:rPr>
            </w:pPr>
          </w:p>
        </w:tc>
      </w:tr>
      <w:tr>
        <w:trPr>
          <w:trHeight w:val="162"/>
        </w:trPr>
        <w:tc>
          <w:tcPr>
            <w:tcW w:w="55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Provision for income taxes</w:t>
            </w:r>
          </w:p>
        </w:tc>
        <w:tc>
          <w:tcPr>
            <w:tcW w:w="1020" w:type="dxa"/>
            <w:vAlign w:val="bottom"/>
          </w:tcPr>
          <w:p>
            <w:pPr>
              <w:spacing w:after="0"/>
              <w:rPr>
                <w:sz w:val="14"/>
                <w:szCs w:val="14"/>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00497F"/>
              </w:rPr>
              <w:t>233</w:t>
            </w:r>
          </w:p>
        </w:tc>
        <w:tc>
          <w:tcPr>
            <w:tcW w:w="106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252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w:t>
            </w:r>
          </w:p>
        </w:tc>
        <w:tc>
          <w:tcPr>
            <w:tcW w:w="1240" w:type="dxa"/>
            <w:vAlign w:val="bottom"/>
          </w:tcPr>
          <w:p>
            <w:pPr>
              <w:jc w:val="right"/>
              <w:spacing w:after="0"/>
              <w:rPr>
                <w:sz w:val="20"/>
                <w:szCs w:val="20"/>
                <w:color w:val="auto"/>
              </w:rPr>
            </w:pPr>
            <w:r>
              <w:rPr>
                <w:rFonts w:ascii="Arial" w:cs="Arial" w:eastAsia="Arial" w:hAnsi="Arial"/>
                <w:sz w:val="13"/>
                <w:szCs w:val="13"/>
                <w:color w:val="auto"/>
              </w:rPr>
              <w:t>-7.5 %</w:t>
            </w:r>
          </w:p>
        </w:tc>
        <w:tc>
          <w:tcPr>
            <w:tcW w:w="0" w:type="dxa"/>
            <w:vAlign w:val="bottom"/>
          </w:tcPr>
          <w:p>
            <w:pPr>
              <w:spacing w:after="0"/>
              <w:rPr>
                <w:sz w:val="1"/>
                <w:szCs w:val="1"/>
                <w:color w:val="auto"/>
              </w:rPr>
            </w:pPr>
          </w:p>
        </w:tc>
      </w:tr>
      <w:tr>
        <w:trPr>
          <w:trHeight w:val="171"/>
        </w:trPr>
        <w:tc>
          <w:tcPr>
            <w:tcW w:w="55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Equity in net earnings (B)</w:t>
            </w: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21</w:t>
            </w:r>
          </w:p>
        </w:tc>
        <w:tc>
          <w:tcPr>
            <w:tcW w:w="10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240" w:type="dxa"/>
            <w:vAlign w:val="bottom"/>
          </w:tcPr>
          <w:p>
            <w:pPr>
              <w:jc w:val="right"/>
              <w:spacing w:after="0"/>
              <w:rPr>
                <w:sz w:val="20"/>
                <w:szCs w:val="20"/>
                <w:color w:val="auto"/>
              </w:rPr>
            </w:pPr>
            <w:r>
              <w:rPr>
                <w:rFonts w:ascii="Arial" w:cs="Arial" w:eastAsia="Arial" w:hAnsi="Arial"/>
                <w:sz w:val="13"/>
                <w:szCs w:val="13"/>
                <w:color w:val="auto"/>
              </w:rPr>
              <w:t>162.5 %</w:t>
            </w:r>
          </w:p>
        </w:tc>
        <w:tc>
          <w:tcPr>
            <w:tcW w:w="0" w:type="dxa"/>
            <w:vAlign w:val="bottom"/>
          </w:tcPr>
          <w:p>
            <w:pPr>
              <w:spacing w:after="0"/>
              <w:rPr>
                <w:sz w:val="1"/>
                <w:szCs w:val="1"/>
                <w:color w:val="auto"/>
              </w:rPr>
            </w:pPr>
          </w:p>
        </w:tc>
      </w:tr>
      <w:tr>
        <w:trPr>
          <w:trHeight w:val="151"/>
        </w:trPr>
        <w:tc>
          <w:tcPr>
            <w:tcW w:w="558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Net income</w:t>
            </w:r>
          </w:p>
        </w:tc>
        <w:tc>
          <w:tcPr>
            <w:tcW w:w="1020" w:type="dxa"/>
            <w:vAlign w:val="bottom"/>
            <w:tcBorders>
              <w:bottom w:val="single" w:sz="8" w:color="auto"/>
            </w:tcBorders>
          </w:tcPr>
          <w:p>
            <w:pPr>
              <w:jc w:val="right"/>
              <w:ind w:right="905"/>
              <w:spacing w:after="0"/>
              <w:rPr>
                <w:sz w:val="20"/>
                <w:szCs w:val="20"/>
                <w:color w:val="auto"/>
              </w:rPr>
            </w:pPr>
            <w:r>
              <w:rPr>
                <w:rFonts w:ascii="Arial" w:cs="Arial" w:eastAsia="Arial" w:hAnsi="Arial"/>
                <w:sz w:val="10"/>
                <w:szCs w:val="10"/>
                <w:b w:val="1"/>
                <w:bCs w:val="1"/>
                <w:color w:val="00497F"/>
                <w:w w:val="71"/>
              </w:rPr>
              <w:t>$</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828</w:t>
            </w:r>
          </w:p>
        </w:tc>
        <w:tc>
          <w:tcPr>
            <w:tcW w:w="1060" w:type="dxa"/>
            <w:vAlign w:val="bottom"/>
            <w:tcBorders>
              <w:bottom w:val="single" w:sz="8" w:color="auto"/>
            </w:tcBorders>
          </w:tcPr>
          <w:p>
            <w:pPr>
              <w:jc w:val="right"/>
              <w:ind w:right="914"/>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473</w:t>
            </w:r>
          </w:p>
        </w:tc>
        <w:tc>
          <w:tcPr>
            <w:tcW w:w="60" w:type="dxa"/>
            <w:vAlign w:val="bottom"/>
          </w:tcPr>
          <w:p>
            <w:pPr>
              <w:spacing w:after="0"/>
              <w:rPr>
                <w:sz w:val="13"/>
                <w:szCs w:val="13"/>
                <w:color w:val="auto"/>
              </w:rPr>
            </w:pPr>
          </w:p>
        </w:tc>
        <w:tc>
          <w:tcPr>
            <w:tcW w:w="2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w:t>
            </w:r>
          </w:p>
        </w:tc>
        <w:tc>
          <w:tcPr>
            <w:tcW w:w="1240" w:type="dxa"/>
            <w:vAlign w:val="bottom"/>
          </w:tcPr>
          <w:p>
            <w:pPr>
              <w:jc w:val="right"/>
              <w:spacing w:after="0"/>
              <w:rPr>
                <w:sz w:val="20"/>
                <w:szCs w:val="20"/>
                <w:color w:val="auto"/>
              </w:rPr>
            </w:pPr>
            <w:r>
              <w:rPr>
                <w:rFonts w:ascii="Arial" w:cs="Arial" w:eastAsia="Arial" w:hAnsi="Arial"/>
                <w:sz w:val="13"/>
                <w:szCs w:val="13"/>
                <w:color w:val="auto"/>
              </w:rPr>
              <w:t>75.1 %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80" w:type="dxa"/>
            <w:vAlign w:val="bottom"/>
            <w:tcBorders>
              <w:right w:val="single" w:sz="8" w:color="auto"/>
            </w:tcBorders>
          </w:tcPr>
          <w:p>
            <w:pPr>
              <w:spacing w:after="0" w:line="129" w:lineRule="exact"/>
              <w:rPr>
                <w:sz w:val="20"/>
                <w:szCs w:val="20"/>
                <w:color w:val="auto"/>
              </w:rPr>
            </w:pPr>
            <w:r>
              <w:rPr>
                <w:rFonts w:ascii="Arial" w:cs="Arial" w:eastAsia="Arial" w:hAnsi="Arial"/>
                <w:sz w:val="13"/>
                <w:szCs w:val="13"/>
                <w:color w:val="auto"/>
              </w:rPr>
              <w:t>Basic earnings per common share</w:t>
            </w:r>
          </w:p>
        </w:tc>
        <w:tc>
          <w:tcPr>
            <w:tcW w:w="1020" w:type="dxa"/>
            <w:vAlign w:val="bottom"/>
          </w:tcPr>
          <w:p>
            <w:pPr>
              <w:jc w:val="right"/>
              <w:ind w:right="905"/>
              <w:spacing w:after="0"/>
              <w:rPr>
                <w:sz w:val="20"/>
                <w:szCs w:val="20"/>
                <w:color w:val="auto"/>
              </w:rPr>
            </w:pPr>
            <w:r>
              <w:rPr>
                <w:rFonts w:ascii="Arial" w:cs="Arial" w:eastAsia="Arial" w:hAnsi="Arial"/>
                <w:sz w:val="10"/>
                <w:szCs w:val="10"/>
                <w:b w:val="1"/>
                <w:bCs w:val="1"/>
                <w:color w:val="00497F"/>
                <w:w w:val="71"/>
              </w:rPr>
              <w:t>$</w:t>
            </w:r>
          </w:p>
        </w:tc>
        <w:tc>
          <w:tcPr>
            <w:tcW w:w="620" w:type="dxa"/>
            <w:vAlign w:val="bottom"/>
            <w:tcBorders>
              <w:right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00497F"/>
              </w:rPr>
              <w:t>6.42</w:t>
            </w:r>
          </w:p>
        </w:tc>
        <w:tc>
          <w:tcPr>
            <w:tcW w:w="1060" w:type="dxa"/>
            <w:vAlign w:val="bottom"/>
          </w:tcPr>
          <w:p>
            <w:pPr>
              <w:jc w:val="right"/>
              <w:ind w:right="914"/>
              <w:spacing w:after="0" w:line="129"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ind w:right="14"/>
              <w:spacing w:after="0" w:line="129" w:lineRule="exact"/>
              <w:rPr>
                <w:sz w:val="20"/>
                <w:szCs w:val="20"/>
                <w:color w:val="auto"/>
              </w:rPr>
            </w:pPr>
            <w:r>
              <w:rPr>
                <w:rFonts w:ascii="Arial" w:cs="Arial" w:eastAsia="Arial" w:hAnsi="Arial"/>
                <w:sz w:val="13"/>
                <w:szCs w:val="13"/>
                <w:color w:val="auto"/>
              </w:rPr>
              <w:t>3.58</w:t>
            </w:r>
          </w:p>
        </w:tc>
        <w:tc>
          <w:tcPr>
            <w:tcW w:w="60" w:type="dxa"/>
            <w:vAlign w:val="bottom"/>
          </w:tcPr>
          <w:p>
            <w:pPr>
              <w:spacing w:after="0"/>
              <w:rPr>
                <w:sz w:val="11"/>
                <w:szCs w:val="11"/>
                <w:color w:val="auto"/>
              </w:rPr>
            </w:pPr>
          </w:p>
        </w:tc>
        <w:tc>
          <w:tcPr>
            <w:tcW w:w="200" w:type="dxa"/>
            <w:vAlign w:val="bottom"/>
          </w:tcPr>
          <w:p>
            <w:pPr>
              <w:jc w:val="right"/>
              <w:ind w:right="54"/>
              <w:spacing w:after="0" w:line="129" w:lineRule="exact"/>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2.84</w:t>
            </w:r>
          </w:p>
        </w:tc>
        <w:tc>
          <w:tcPr>
            <w:tcW w:w="1240" w:type="dxa"/>
            <w:vAlign w:val="bottom"/>
          </w:tcPr>
          <w:p>
            <w:pPr>
              <w:jc w:val="right"/>
              <w:spacing w:after="0" w:line="129" w:lineRule="exact"/>
              <w:rPr>
                <w:sz w:val="20"/>
                <w:szCs w:val="20"/>
                <w:color w:val="auto"/>
              </w:rPr>
            </w:pPr>
            <w:r>
              <w:rPr>
                <w:rFonts w:ascii="Arial" w:cs="Arial" w:eastAsia="Arial" w:hAnsi="Arial"/>
                <w:sz w:val="13"/>
                <w:szCs w:val="13"/>
                <w:color w:val="auto"/>
              </w:rPr>
              <w:t>79.3 %</w:t>
            </w:r>
          </w:p>
        </w:tc>
        <w:tc>
          <w:tcPr>
            <w:tcW w:w="0" w:type="dxa"/>
            <w:vAlign w:val="bottom"/>
          </w:tcPr>
          <w:p>
            <w:pPr>
              <w:spacing w:after="0"/>
              <w:rPr>
                <w:sz w:val="1"/>
                <w:szCs w:val="1"/>
                <w:color w:val="auto"/>
              </w:rPr>
            </w:pPr>
          </w:p>
        </w:tc>
      </w:tr>
      <w:tr>
        <w:trPr>
          <w:trHeight w:val="162"/>
        </w:trPr>
        <w:tc>
          <w:tcPr>
            <w:tcW w:w="558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uto"/>
              </w:rPr>
              <w:t>Diluted earnings per common share</w:t>
            </w:r>
          </w:p>
        </w:tc>
        <w:tc>
          <w:tcPr>
            <w:tcW w:w="1020" w:type="dxa"/>
            <w:vAlign w:val="bottom"/>
          </w:tcPr>
          <w:p>
            <w:pPr>
              <w:jc w:val="right"/>
              <w:ind w:right="905"/>
              <w:spacing w:after="0"/>
              <w:rPr>
                <w:sz w:val="20"/>
                <w:szCs w:val="20"/>
                <w:color w:val="auto"/>
              </w:rPr>
            </w:pPr>
            <w:r>
              <w:rPr>
                <w:rFonts w:ascii="Arial" w:cs="Arial" w:eastAsia="Arial" w:hAnsi="Arial"/>
                <w:sz w:val="10"/>
                <w:szCs w:val="10"/>
                <w:b w:val="1"/>
                <w:bCs w:val="1"/>
                <w:color w:val="00497F"/>
                <w:w w:val="71"/>
              </w:rPr>
              <w:t>$</w:t>
            </w: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00497F"/>
              </w:rPr>
              <w:t>6.39</w:t>
            </w:r>
          </w:p>
        </w:tc>
        <w:tc>
          <w:tcPr>
            <w:tcW w:w="1060" w:type="dxa"/>
            <w:vAlign w:val="bottom"/>
          </w:tcPr>
          <w:p>
            <w:pPr>
              <w:jc w:val="right"/>
              <w:ind w:right="914"/>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3.56</w:t>
            </w:r>
          </w:p>
        </w:tc>
        <w:tc>
          <w:tcPr>
            <w:tcW w:w="60" w:type="dxa"/>
            <w:vAlign w:val="bottom"/>
          </w:tcPr>
          <w:p>
            <w:pPr>
              <w:spacing w:after="0"/>
              <w:rPr>
                <w:sz w:val="14"/>
                <w:szCs w:val="14"/>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2.83</w:t>
            </w:r>
          </w:p>
        </w:tc>
        <w:tc>
          <w:tcPr>
            <w:tcW w:w="1240" w:type="dxa"/>
            <w:vAlign w:val="bottom"/>
          </w:tcPr>
          <w:p>
            <w:pPr>
              <w:jc w:val="right"/>
              <w:spacing w:after="0"/>
              <w:rPr>
                <w:sz w:val="20"/>
                <w:szCs w:val="20"/>
                <w:color w:val="auto"/>
              </w:rPr>
            </w:pPr>
            <w:r>
              <w:rPr>
                <w:rFonts w:ascii="Arial" w:cs="Arial" w:eastAsia="Arial" w:hAnsi="Arial"/>
                <w:sz w:val="13"/>
                <w:szCs w:val="13"/>
                <w:color w:val="auto"/>
              </w:rPr>
              <w:t>79.5 %</w:t>
            </w:r>
          </w:p>
        </w:tc>
        <w:tc>
          <w:tcPr>
            <w:tcW w:w="0" w:type="dxa"/>
            <w:vAlign w:val="bottom"/>
          </w:tcPr>
          <w:p>
            <w:pPr>
              <w:spacing w:after="0"/>
              <w:rPr>
                <w:sz w:val="1"/>
                <w:szCs w:val="1"/>
                <w:color w:val="auto"/>
              </w:rPr>
            </w:pPr>
          </w:p>
        </w:tc>
      </w:tr>
      <w:tr>
        <w:trPr>
          <w:trHeight w:val="162"/>
        </w:trPr>
        <w:tc>
          <w:tcPr>
            <w:tcW w:w="55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Shares used in computing basic earnings per common share (000’s)</w:t>
            </w:r>
          </w:p>
        </w:tc>
        <w:tc>
          <w:tcPr>
            <w:tcW w:w="1020" w:type="dxa"/>
            <w:vAlign w:val="bottom"/>
          </w:tcPr>
          <w:p>
            <w:pPr>
              <w:spacing w:after="0"/>
              <w:rPr>
                <w:sz w:val="14"/>
                <w:szCs w:val="14"/>
                <w:color w:val="auto"/>
              </w:rPr>
            </w:pPr>
          </w:p>
        </w:tc>
        <w:tc>
          <w:tcPr>
            <w:tcW w:w="62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00497F"/>
              </w:rPr>
              <w:t>128,931</w:t>
            </w:r>
          </w:p>
        </w:tc>
        <w:tc>
          <w:tcPr>
            <w:tcW w:w="106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132,135</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tcBorders>
              <w:right w:val="single" w:sz="8" w:color="auto"/>
            </w:tcBorders>
          </w:tcPr>
          <w:p>
            <w:pPr>
              <w:spacing w:after="0"/>
              <w:rPr>
                <w:sz w:val="20"/>
                <w:szCs w:val="20"/>
                <w:color w:val="auto"/>
              </w:rPr>
            </w:pPr>
            <w:r>
              <w:rPr>
                <w:rFonts w:ascii="Arial" w:cs="Arial" w:eastAsia="Arial" w:hAnsi="Arial"/>
                <w:sz w:val="13"/>
                <w:szCs w:val="13"/>
                <w:color w:val="auto"/>
              </w:rPr>
              <w:t>Shares used in computing diluted earnings per common share (000’s)</w:t>
            </w: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00497F"/>
              </w:rPr>
              <w:t>129,551</w:t>
            </w:r>
          </w:p>
        </w:tc>
        <w:tc>
          <w:tcPr>
            <w:tcW w:w="1060" w:type="dxa"/>
            <w:vAlign w:val="bottom"/>
          </w:tcPr>
          <w:p>
            <w:pPr>
              <w:spacing w:after="0"/>
              <w:rPr>
                <w:sz w:val="14"/>
                <w:szCs w:val="14"/>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132,811</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S-3</w:t>
      </w:r>
    </w:p>
    <w:p>
      <w:pPr>
        <w:sectPr>
          <w:pgSz w:w="11900" w:h="16838" w:orient="portrait"/>
          <w:cols w:equalWidth="0" w:num="1">
            <w:col w:w="11300"/>
          </w:cols>
          <w:pgMar w:left="300" w:top="789" w:right="299" w:bottom="1440" w:gutter="0" w:footer="0" w:header="0"/>
        </w:sectPr>
      </w:pPr>
    </w:p>
    <w:bookmarkStart w:id="34" w:name="page35"/>
    <w:bookmarkEnd w:id="34"/>
    <w:p>
      <w:pPr>
        <w:spacing w:after="0"/>
        <w:rPr>
          <w:sz w:val="20"/>
          <w:szCs w:val="20"/>
          <w:color w:val="auto"/>
        </w:rPr>
      </w:pPr>
      <w:r>
        <w:rPr>
          <w:rFonts w:ascii="Arial" w:cs="Arial" w:eastAsia="Arial" w:hAnsi="Arial"/>
          <w:sz w:val="13"/>
          <w:szCs w:val="13"/>
          <w:color w:val="auto"/>
        </w:rPr>
        <w:t>Humana Inc.</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Dollars in millions, except share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540" w:type="dxa"/>
            <w:vAlign w:val="bottom"/>
          </w:tcPr>
          <w:p>
            <w:pPr>
              <w:spacing w:after="0"/>
              <w:rPr>
                <w:sz w:val="11"/>
                <w:szCs w:val="11"/>
                <w:color w:val="auto"/>
              </w:rPr>
            </w:pPr>
          </w:p>
        </w:tc>
        <w:tc>
          <w:tcPr>
            <w:tcW w:w="200" w:type="dxa"/>
            <w:vAlign w:val="bottom"/>
            <w:tcBorders>
              <w:top w:val="single" w:sz="8" w:color="auto"/>
              <w:left w:val="single" w:sz="8" w:color="auto"/>
            </w:tcBorders>
          </w:tcPr>
          <w:p>
            <w:pPr>
              <w:spacing w:after="0"/>
              <w:rPr>
                <w:sz w:val="11"/>
                <w:szCs w:val="11"/>
                <w:color w:val="auto"/>
              </w:rPr>
            </w:pPr>
          </w:p>
        </w:tc>
        <w:tc>
          <w:tcPr>
            <w:tcW w:w="940" w:type="dxa"/>
            <w:vAlign w:val="bottom"/>
            <w:tcBorders>
              <w:top w:val="single" w:sz="8" w:color="auto"/>
              <w:right w:val="single" w:sz="8" w:color="auto"/>
            </w:tcBorders>
          </w:tcPr>
          <w:p>
            <w:pPr>
              <w:jc w:val="right"/>
              <w:ind w:right="312"/>
              <w:spacing w:after="0"/>
              <w:rPr>
                <w:sz w:val="20"/>
                <w:szCs w:val="20"/>
                <w:color w:val="auto"/>
              </w:rPr>
            </w:pPr>
            <w:r>
              <w:rPr>
                <w:rFonts w:ascii="Arial" w:cs="Arial" w:eastAsia="Arial" w:hAnsi="Arial"/>
                <w:sz w:val="10"/>
                <w:szCs w:val="10"/>
                <w:b w:val="1"/>
                <w:bCs w:val="1"/>
                <w:color w:val="00497F"/>
              </w:rPr>
              <w:t>March 31,</w:t>
            </w:r>
          </w:p>
        </w:tc>
        <w:tc>
          <w:tcPr>
            <w:tcW w:w="120" w:type="dxa"/>
            <w:vAlign w:val="bottom"/>
          </w:tcPr>
          <w:p>
            <w:pPr>
              <w:spacing w:after="0"/>
              <w:rPr>
                <w:sz w:val="11"/>
                <w:szCs w:val="11"/>
                <w:color w:val="auto"/>
              </w:rPr>
            </w:pPr>
          </w:p>
        </w:tc>
        <w:tc>
          <w:tcPr>
            <w:tcW w:w="940" w:type="dxa"/>
            <w:vAlign w:val="bottom"/>
          </w:tcPr>
          <w:p>
            <w:pPr>
              <w:jc w:val="right"/>
              <w:ind w:right="212"/>
              <w:spacing w:after="0"/>
              <w:rPr>
                <w:sz w:val="20"/>
                <w:szCs w:val="20"/>
                <w:color w:val="auto"/>
              </w:rPr>
            </w:pPr>
            <w:r>
              <w:rPr>
                <w:rFonts w:ascii="Arial" w:cs="Arial" w:eastAsia="Arial" w:hAnsi="Arial"/>
                <w:sz w:val="10"/>
                <w:szCs w:val="10"/>
                <w:color w:val="auto"/>
              </w:rPr>
              <w:t>December 31,</w:t>
            </w:r>
          </w:p>
        </w:tc>
        <w:tc>
          <w:tcPr>
            <w:tcW w:w="80" w:type="dxa"/>
            <w:vAlign w:val="bottom"/>
            <w:tcBorders>
              <w:right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900" w:type="dxa"/>
            <w:vAlign w:val="bottom"/>
            <w:tcBorders>
              <w:top w:val="single" w:sz="8" w:color="auto"/>
              <w:bottom w:val="single" w:sz="8" w:color="auto"/>
              <w:right w:val="single" w:sz="8" w:color="auto"/>
            </w:tcBorders>
            <w:gridSpan w:val="2"/>
          </w:tcPr>
          <w:p>
            <w:pPr>
              <w:jc w:val="right"/>
              <w:ind w:right="552"/>
              <w:spacing w:after="0"/>
              <w:rPr>
                <w:sz w:val="20"/>
                <w:szCs w:val="20"/>
                <w:color w:val="auto"/>
              </w:rPr>
            </w:pPr>
            <w:r>
              <w:rPr>
                <w:rFonts w:ascii="Arial" w:cs="Arial" w:eastAsia="Arial" w:hAnsi="Arial"/>
                <w:sz w:val="10"/>
                <w:szCs w:val="10"/>
                <w:color w:val="auto"/>
              </w:rPr>
              <w:t>Year-to-Date Change</w:t>
            </w:r>
          </w:p>
        </w:tc>
        <w:tc>
          <w:tcPr>
            <w:tcW w:w="0" w:type="dxa"/>
            <w:vAlign w:val="bottom"/>
          </w:tcPr>
          <w:p>
            <w:pPr>
              <w:spacing w:after="0"/>
              <w:rPr>
                <w:sz w:val="1"/>
                <w:szCs w:val="1"/>
                <w:color w:val="auto"/>
              </w:rPr>
            </w:pPr>
          </w:p>
        </w:tc>
      </w:tr>
      <w:tr>
        <w:trPr>
          <w:trHeight w:val="115"/>
        </w:trPr>
        <w:tc>
          <w:tcPr>
            <w:tcW w:w="5540" w:type="dxa"/>
            <w:vAlign w:val="bottom"/>
            <w:vMerge w:val="restart"/>
          </w:tcPr>
          <w:p>
            <w:pPr>
              <w:spacing w:after="0"/>
              <w:rPr>
                <w:sz w:val="20"/>
                <w:szCs w:val="20"/>
                <w:color w:val="auto"/>
              </w:rPr>
            </w:pPr>
            <w:r>
              <w:rPr>
                <w:rFonts w:ascii="Arial" w:cs="Arial" w:eastAsia="Arial" w:hAnsi="Arial"/>
                <w:sz w:val="10"/>
                <w:szCs w:val="10"/>
                <w:b w:val="1"/>
                <w:bCs w:val="1"/>
                <w:color w:val="auto"/>
              </w:rPr>
              <w:t>Assets</w:t>
            </w:r>
          </w:p>
        </w:tc>
        <w:tc>
          <w:tcPr>
            <w:tcW w:w="200" w:type="dxa"/>
            <w:vAlign w:val="bottom"/>
            <w:tcBorders>
              <w:left w:val="single" w:sz="8" w:color="auto"/>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jc w:val="right"/>
              <w:ind w:right="432"/>
              <w:spacing w:after="0"/>
              <w:rPr>
                <w:sz w:val="20"/>
                <w:szCs w:val="20"/>
                <w:color w:val="auto"/>
              </w:rPr>
            </w:pPr>
            <w:r>
              <w:rPr>
                <w:rFonts w:ascii="Arial" w:cs="Arial" w:eastAsia="Arial" w:hAnsi="Arial"/>
                <w:sz w:val="10"/>
                <w:szCs w:val="10"/>
                <w:b w:val="1"/>
                <w:bCs w:val="1"/>
                <w:color w:val="00497F"/>
              </w:rPr>
              <w:t>2021</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0"/>
                <w:szCs w:val="10"/>
                <w:color w:val="auto"/>
              </w:rPr>
              <w:t>2020</w:t>
            </w: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0"/>
                <w:szCs w:val="10"/>
                <w:color w:val="auto"/>
              </w:rPr>
              <w:t>Dollar</w:t>
            </w: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rPr>
              <w:t>Percent</w:t>
            </w:r>
          </w:p>
        </w:tc>
        <w:tc>
          <w:tcPr>
            <w:tcW w:w="0" w:type="dxa"/>
            <w:vAlign w:val="bottom"/>
          </w:tcPr>
          <w:p>
            <w:pPr>
              <w:spacing w:after="0"/>
              <w:rPr>
                <w:sz w:val="1"/>
                <w:szCs w:val="1"/>
                <w:color w:val="auto"/>
              </w:rPr>
            </w:pPr>
          </w:p>
        </w:tc>
      </w:tr>
      <w:tr>
        <w:trPr>
          <w:trHeight w:val="107"/>
        </w:trPr>
        <w:tc>
          <w:tcPr>
            <w:tcW w:w="5540" w:type="dxa"/>
            <w:vAlign w:val="bottom"/>
            <w:vMerge w:val="continue"/>
          </w:tcPr>
          <w:p>
            <w:pPr>
              <w:spacing w:after="0"/>
              <w:rPr>
                <w:sz w:val="9"/>
                <w:szCs w:val="9"/>
                <w:color w:val="auto"/>
              </w:rPr>
            </w:pPr>
          </w:p>
        </w:tc>
        <w:tc>
          <w:tcPr>
            <w:tcW w:w="200" w:type="dxa"/>
            <w:vAlign w:val="bottom"/>
            <w:tcBorders>
              <w:lef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Current assets:</w:t>
            </w:r>
          </w:p>
        </w:tc>
        <w:tc>
          <w:tcPr>
            <w:tcW w:w="200" w:type="dxa"/>
            <w:vAlign w:val="bottom"/>
            <w:tcBorders>
              <w:left w:val="single" w:sz="8" w:color="auto"/>
            </w:tcBorders>
            <w:vMerge w:val="restart"/>
          </w:tcPr>
          <w:p>
            <w:pPr>
              <w:jc w:val="right"/>
              <w:ind w:right="72"/>
              <w:spacing w:after="0"/>
              <w:rPr>
                <w:sz w:val="20"/>
                <w:szCs w:val="20"/>
                <w:color w:val="auto"/>
              </w:rPr>
            </w:pPr>
            <w:r>
              <w:rPr>
                <w:rFonts w:ascii="Arial" w:cs="Arial" w:eastAsia="Arial" w:hAnsi="Arial"/>
                <w:sz w:val="10"/>
                <w:szCs w:val="10"/>
                <w:b w:val="1"/>
                <w:bCs w:val="1"/>
                <w:color w:val="00497F"/>
              </w:rPr>
              <w:t>$</w:t>
            </w:r>
          </w:p>
        </w:tc>
        <w:tc>
          <w:tcPr>
            <w:tcW w:w="9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0"/>
                <w:szCs w:val="10"/>
                <w:b w:val="1"/>
                <w:bCs w:val="1"/>
                <w:color w:val="00497F"/>
              </w:rPr>
              <w:t>3,877</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540" w:type="dxa"/>
            <w:vAlign w:val="bottom"/>
          </w:tcPr>
          <w:p>
            <w:pPr>
              <w:ind w:left="220"/>
              <w:spacing w:after="0"/>
              <w:rPr>
                <w:sz w:val="20"/>
                <w:szCs w:val="20"/>
                <w:color w:val="auto"/>
              </w:rPr>
            </w:pPr>
            <w:r>
              <w:rPr>
                <w:rFonts w:ascii="Arial" w:cs="Arial" w:eastAsia="Arial" w:hAnsi="Arial"/>
                <w:sz w:val="10"/>
                <w:szCs w:val="10"/>
                <w:color w:val="auto"/>
              </w:rPr>
              <w:t>Cash and cash equivalents</w:t>
            </w:r>
          </w:p>
        </w:tc>
        <w:tc>
          <w:tcPr>
            <w:tcW w:w="200" w:type="dxa"/>
            <w:vAlign w:val="bottom"/>
            <w:tcBorders>
              <w:lef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20" w:type="dxa"/>
            <w:vAlign w:val="bottom"/>
          </w:tcPr>
          <w:p>
            <w:pPr>
              <w:jc w:val="right"/>
              <w:ind w:right="94"/>
              <w:spacing w:after="0"/>
              <w:rPr>
                <w:sz w:val="20"/>
                <w:szCs w:val="20"/>
                <w:color w:val="auto"/>
              </w:rPr>
            </w:pPr>
            <w:r>
              <w:rPr>
                <w:rFonts w:ascii="Arial" w:cs="Arial" w:eastAsia="Arial" w:hAnsi="Arial"/>
                <w:sz w:val="1"/>
                <w:szCs w:val="1"/>
                <w:color w:val="auto"/>
                <w:w w:val="4294967288"/>
              </w:rPr>
              <w:t>$</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4,673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Investment securities</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13,251</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12,554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Receivables, net</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2,196</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1,138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Other current assets</w:t>
            </w:r>
          </w:p>
        </w:tc>
        <w:tc>
          <w:tcPr>
            <w:tcW w:w="200" w:type="dxa"/>
            <w:vAlign w:val="bottom"/>
            <w:tcBorders>
              <w:left w:val="single" w:sz="8" w:color="auto"/>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6,202</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5,276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540" w:type="dxa"/>
            <w:vAlign w:val="bottom"/>
          </w:tcPr>
          <w:p>
            <w:pPr>
              <w:ind w:left="440"/>
              <w:spacing w:after="0"/>
              <w:rPr>
                <w:sz w:val="20"/>
                <w:szCs w:val="20"/>
                <w:color w:val="auto"/>
              </w:rPr>
            </w:pPr>
            <w:r>
              <w:rPr>
                <w:rFonts w:ascii="Arial" w:cs="Arial" w:eastAsia="Arial" w:hAnsi="Arial"/>
                <w:sz w:val="10"/>
                <w:szCs w:val="10"/>
                <w:color w:val="auto"/>
              </w:rPr>
              <w:t>Total current assets</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25,526</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23,641</w:t>
            </w:r>
          </w:p>
        </w:tc>
        <w:tc>
          <w:tcPr>
            <w:tcW w:w="2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1,885</w:t>
            </w:r>
          </w:p>
        </w:tc>
        <w:tc>
          <w:tcPr>
            <w:tcW w:w="940" w:type="dxa"/>
            <w:vAlign w:val="bottom"/>
          </w:tcPr>
          <w:p>
            <w:pPr>
              <w:jc w:val="right"/>
              <w:spacing w:after="0"/>
              <w:rPr>
                <w:sz w:val="20"/>
                <w:szCs w:val="20"/>
                <w:color w:val="auto"/>
              </w:rPr>
            </w:pPr>
            <w:r>
              <w:rPr>
                <w:rFonts w:ascii="Arial" w:cs="Arial" w:eastAsia="Arial" w:hAnsi="Arial"/>
                <w:sz w:val="10"/>
                <w:szCs w:val="10"/>
                <w:color w:val="auto"/>
              </w:rPr>
              <w:t>8.0 %</w:t>
            </w: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Property and equipment, net</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2,507</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2,371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Long-term investment securities</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1,120</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1,212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Goodwill</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4,602</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4,447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Equity method investments</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1,205</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1,170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Other long-term assets</w:t>
            </w:r>
          </w:p>
        </w:tc>
        <w:tc>
          <w:tcPr>
            <w:tcW w:w="200" w:type="dxa"/>
            <w:vAlign w:val="bottom"/>
            <w:tcBorders>
              <w:left w:val="single" w:sz="8" w:color="auto"/>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2,455</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2,128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540" w:type="dxa"/>
            <w:vAlign w:val="bottom"/>
          </w:tcPr>
          <w:p>
            <w:pPr>
              <w:spacing w:after="0"/>
              <w:rPr>
                <w:sz w:val="20"/>
                <w:szCs w:val="20"/>
                <w:color w:val="auto"/>
              </w:rPr>
            </w:pPr>
            <w:r>
              <w:rPr>
                <w:rFonts w:ascii="Arial" w:cs="Arial" w:eastAsia="Arial" w:hAnsi="Arial"/>
                <w:sz w:val="10"/>
                <w:szCs w:val="10"/>
                <w:b w:val="1"/>
                <w:bCs w:val="1"/>
                <w:color w:val="auto"/>
              </w:rPr>
              <w:t>Total assets</w:t>
            </w:r>
          </w:p>
        </w:tc>
        <w:tc>
          <w:tcPr>
            <w:tcW w:w="200" w:type="dxa"/>
            <w:vAlign w:val="bottom"/>
            <w:tcBorders>
              <w:left w:val="single" w:sz="8" w:color="auto"/>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w:t>
            </w:r>
          </w:p>
        </w:tc>
        <w:tc>
          <w:tcPr>
            <w:tcW w:w="94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37,415</w:t>
            </w:r>
          </w:p>
        </w:tc>
        <w:tc>
          <w:tcPr>
            <w:tcW w:w="120" w:type="dxa"/>
            <w:vAlign w:val="bottom"/>
            <w:tcBorders>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34,969</w:t>
            </w:r>
          </w:p>
        </w:tc>
        <w:tc>
          <w:tcPr>
            <w:tcW w:w="2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2,446</w:t>
            </w:r>
          </w:p>
        </w:tc>
        <w:tc>
          <w:tcPr>
            <w:tcW w:w="940" w:type="dxa"/>
            <w:vAlign w:val="bottom"/>
          </w:tcPr>
          <w:p>
            <w:pPr>
              <w:jc w:val="right"/>
              <w:spacing w:after="0"/>
              <w:rPr>
                <w:sz w:val="20"/>
                <w:szCs w:val="20"/>
                <w:color w:val="auto"/>
              </w:rPr>
            </w:pPr>
            <w:r>
              <w:rPr>
                <w:rFonts w:ascii="Arial" w:cs="Arial" w:eastAsia="Arial" w:hAnsi="Arial"/>
                <w:sz w:val="10"/>
                <w:szCs w:val="10"/>
                <w:color w:val="auto"/>
              </w:rPr>
              <w:t>7.0 %</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0"/>
                <w:szCs w:val="10"/>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5540" w:type="dxa"/>
            <w:vAlign w:val="bottom"/>
            <w:vMerge w:val="continue"/>
          </w:tcPr>
          <w:p>
            <w:pPr>
              <w:spacing w:after="0"/>
              <w:rPr>
                <w:sz w:val="7"/>
                <w:szCs w:val="7"/>
                <w:color w:val="auto"/>
              </w:rPr>
            </w:pPr>
          </w:p>
        </w:tc>
        <w:tc>
          <w:tcPr>
            <w:tcW w:w="200" w:type="dxa"/>
            <w:vAlign w:val="bottom"/>
            <w:tcBorders>
              <w:left w:val="single" w:sz="8" w:color="auto"/>
            </w:tcBorders>
          </w:tcPr>
          <w:p>
            <w:pPr>
              <w:spacing w:after="0"/>
              <w:rPr>
                <w:sz w:val="7"/>
                <w:szCs w:val="7"/>
                <w:color w:val="auto"/>
              </w:rPr>
            </w:pPr>
          </w:p>
        </w:tc>
        <w:tc>
          <w:tcPr>
            <w:tcW w:w="94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Current liabilities:</w:t>
            </w:r>
          </w:p>
        </w:tc>
        <w:tc>
          <w:tcPr>
            <w:tcW w:w="200" w:type="dxa"/>
            <w:vAlign w:val="bottom"/>
            <w:tcBorders>
              <w:left w:val="single" w:sz="8" w:color="auto"/>
            </w:tcBorders>
            <w:vMerge w:val="restart"/>
          </w:tcPr>
          <w:p>
            <w:pPr>
              <w:jc w:val="right"/>
              <w:ind w:right="72"/>
              <w:spacing w:after="0"/>
              <w:rPr>
                <w:sz w:val="20"/>
                <w:szCs w:val="20"/>
                <w:color w:val="auto"/>
              </w:rPr>
            </w:pPr>
            <w:r>
              <w:rPr>
                <w:rFonts w:ascii="Arial" w:cs="Arial" w:eastAsia="Arial" w:hAnsi="Arial"/>
                <w:sz w:val="10"/>
                <w:szCs w:val="10"/>
                <w:b w:val="1"/>
                <w:bCs w:val="1"/>
                <w:color w:val="00497F"/>
              </w:rPr>
              <w:t>$</w:t>
            </w:r>
          </w:p>
        </w:tc>
        <w:tc>
          <w:tcPr>
            <w:tcW w:w="9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0"/>
                <w:szCs w:val="10"/>
                <w:b w:val="1"/>
                <w:bCs w:val="1"/>
                <w:color w:val="00497F"/>
              </w:rPr>
              <w:t>8,651</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540" w:type="dxa"/>
            <w:vAlign w:val="bottom"/>
          </w:tcPr>
          <w:p>
            <w:pPr>
              <w:ind w:left="220"/>
              <w:spacing w:after="0"/>
              <w:rPr>
                <w:sz w:val="20"/>
                <w:szCs w:val="20"/>
                <w:color w:val="auto"/>
              </w:rPr>
            </w:pPr>
            <w:r>
              <w:rPr>
                <w:rFonts w:ascii="Arial" w:cs="Arial" w:eastAsia="Arial" w:hAnsi="Arial"/>
                <w:sz w:val="10"/>
                <w:szCs w:val="10"/>
                <w:color w:val="auto"/>
              </w:rPr>
              <w:t>Benefits payable</w:t>
            </w:r>
          </w:p>
        </w:tc>
        <w:tc>
          <w:tcPr>
            <w:tcW w:w="200" w:type="dxa"/>
            <w:vAlign w:val="bottom"/>
            <w:tcBorders>
              <w:lef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20" w:type="dxa"/>
            <w:vAlign w:val="bottom"/>
          </w:tcPr>
          <w:p>
            <w:pPr>
              <w:jc w:val="right"/>
              <w:ind w:right="94"/>
              <w:spacing w:after="0"/>
              <w:rPr>
                <w:sz w:val="20"/>
                <w:szCs w:val="20"/>
                <w:color w:val="auto"/>
              </w:rPr>
            </w:pPr>
            <w:r>
              <w:rPr>
                <w:rFonts w:ascii="Arial" w:cs="Arial" w:eastAsia="Arial" w:hAnsi="Arial"/>
                <w:sz w:val="1"/>
                <w:szCs w:val="1"/>
                <w:color w:val="auto"/>
                <w:w w:val="4294967288"/>
              </w:rPr>
              <w:t>$</w:t>
            </w: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8,143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Trade accounts payable and accrued expenses</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4,777</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4,013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Book overdraft</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343</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320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Unearned revenues</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325</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318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Short-term debt</w:t>
            </w:r>
          </w:p>
        </w:tc>
        <w:tc>
          <w:tcPr>
            <w:tcW w:w="200" w:type="dxa"/>
            <w:vAlign w:val="bottom"/>
            <w:tcBorders>
              <w:left w:val="single" w:sz="8" w:color="auto"/>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1,204</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600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540" w:type="dxa"/>
            <w:vAlign w:val="bottom"/>
          </w:tcPr>
          <w:p>
            <w:pPr>
              <w:ind w:left="440"/>
              <w:spacing w:after="0"/>
              <w:rPr>
                <w:sz w:val="20"/>
                <w:szCs w:val="20"/>
                <w:color w:val="auto"/>
              </w:rPr>
            </w:pPr>
            <w:r>
              <w:rPr>
                <w:rFonts w:ascii="Arial" w:cs="Arial" w:eastAsia="Arial" w:hAnsi="Arial"/>
                <w:sz w:val="10"/>
                <w:szCs w:val="10"/>
                <w:color w:val="auto"/>
              </w:rPr>
              <w:t>Total current liabilities</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15,300</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13,394</w:t>
            </w:r>
          </w:p>
        </w:tc>
        <w:tc>
          <w:tcPr>
            <w:tcW w:w="2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1,906</w:t>
            </w:r>
          </w:p>
        </w:tc>
        <w:tc>
          <w:tcPr>
            <w:tcW w:w="940" w:type="dxa"/>
            <w:vAlign w:val="bottom"/>
          </w:tcPr>
          <w:p>
            <w:pPr>
              <w:jc w:val="right"/>
              <w:spacing w:after="0"/>
              <w:rPr>
                <w:sz w:val="20"/>
                <w:szCs w:val="20"/>
                <w:color w:val="auto"/>
              </w:rPr>
            </w:pPr>
            <w:r>
              <w:rPr>
                <w:rFonts w:ascii="Arial" w:cs="Arial" w:eastAsia="Arial" w:hAnsi="Arial"/>
                <w:sz w:val="10"/>
                <w:szCs w:val="10"/>
                <w:color w:val="auto"/>
              </w:rPr>
              <w:t>14.2 %</w:t>
            </w: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Long-term debt</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6,062</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6,060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Other long-term liabilities</w:t>
            </w:r>
          </w:p>
        </w:tc>
        <w:tc>
          <w:tcPr>
            <w:tcW w:w="200" w:type="dxa"/>
            <w:vAlign w:val="bottom"/>
            <w:tcBorders>
              <w:left w:val="single" w:sz="8" w:color="auto"/>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1,863</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1,787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540" w:type="dxa"/>
            <w:vAlign w:val="bottom"/>
          </w:tcPr>
          <w:p>
            <w:pPr>
              <w:ind w:left="440"/>
              <w:spacing w:after="0" w:line="107" w:lineRule="exact"/>
              <w:rPr>
                <w:sz w:val="20"/>
                <w:szCs w:val="20"/>
                <w:color w:val="auto"/>
              </w:rPr>
            </w:pPr>
            <w:r>
              <w:rPr>
                <w:rFonts w:ascii="Arial" w:cs="Arial" w:eastAsia="Arial" w:hAnsi="Arial"/>
                <w:sz w:val="10"/>
                <w:szCs w:val="10"/>
                <w:b w:val="1"/>
                <w:bCs w:val="1"/>
                <w:color w:val="auto"/>
              </w:rPr>
              <w:t>Total liabilities</w:t>
            </w:r>
          </w:p>
        </w:tc>
        <w:tc>
          <w:tcPr>
            <w:tcW w:w="200" w:type="dxa"/>
            <w:vAlign w:val="bottom"/>
            <w:tcBorders>
              <w:left w:val="single" w:sz="8" w:color="auto"/>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23,225</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21,241</w:t>
            </w:r>
          </w:p>
        </w:tc>
        <w:tc>
          <w:tcPr>
            <w:tcW w:w="2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1,984</w:t>
            </w:r>
          </w:p>
        </w:tc>
        <w:tc>
          <w:tcPr>
            <w:tcW w:w="940" w:type="dxa"/>
            <w:vAlign w:val="bottom"/>
          </w:tcPr>
          <w:p>
            <w:pPr>
              <w:jc w:val="right"/>
              <w:spacing w:after="0"/>
              <w:rPr>
                <w:sz w:val="20"/>
                <w:szCs w:val="20"/>
                <w:color w:val="auto"/>
              </w:rPr>
            </w:pPr>
            <w:r>
              <w:rPr>
                <w:rFonts w:ascii="Arial" w:cs="Arial" w:eastAsia="Arial" w:hAnsi="Arial"/>
                <w:sz w:val="10"/>
                <w:szCs w:val="10"/>
                <w:color w:val="auto"/>
              </w:rPr>
              <w:t>9.3 %</w:t>
            </w:r>
          </w:p>
        </w:tc>
        <w:tc>
          <w:tcPr>
            <w:tcW w:w="0" w:type="dxa"/>
            <w:vAlign w:val="bottom"/>
          </w:tcPr>
          <w:p>
            <w:pPr>
              <w:spacing w:after="0"/>
              <w:rPr>
                <w:sz w:val="1"/>
                <w:szCs w:val="1"/>
                <w:color w:val="auto"/>
              </w:rPr>
            </w:pPr>
          </w:p>
        </w:tc>
      </w:tr>
      <w:tr>
        <w:trPr>
          <w:trHeight w:val="107"/>
        </w:trPr>
        <w:tc>
          <w:tcPr>
            <w:tcW w:w="5540" w:type="dxa"/>
            <w:vAlign w:val="bottom"/>
          </w:tcPr>
          <w:p>
            <w:pPr>
              <w:spacing w:after="0" w:line="107" w:lineRule="exact"/>
              <w:rPr>
                <w:sz w:val="20"/>
                <w:szCs w:val="20"/>
                <w:color w:val="auto"/>
              </w:rPr>
            </w:pPr>
            <w:r>
              <w:rPr>
                <w:rFonts w:ascii="Arial" w:cs="Arial" w:eastAsia="Arial" w:hAnsi="Arial"/>
                <w:sz w:val="10"/>
                <w:szCs w:val="10"/>
                <w:color w:val="auto"/>
              </w:rPr>
              <w:t>Commitments and contingencies</w:t>
            </w:r>
          </w:p>
        </w:tc>
        <w:tc>
          <w:tcPr>
            <w:tcW w:w="200" w:type="dxa"/>
            <w:vAlign w:val="bottom"/>
            <w:tcBorders>
              <w:lef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540" w:type="dxa"/>
            <w:vAlign w:val="bottom"/>
          </w:tcPr>
          <w:p>
            <w:pPr>
              <w:spacing w:after="0"/>
              <w:rPr>
                <w:sz w:val="20"/>
                <w:szCs w:val="20"/>
                <w:color w:val="auto"/>
              </w:rPr>
            </w:pPr>
            <w:r>
              <w:rPr>
                <w:rFonts w:ascii="Arial" w:cs="Arial" w:eastAsia="Arial" w:hAnsi="Arial"/>
                <w:sz w:val="10"/>
                <w:szCs w:val="10"/>
                <w:color w:val="auto"/>
              </w:rPr>
              <w:t>Stockholders’ equity:</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0"/>
                <w:szCs w:val="10"/>
                <w:b w:val="1"/>
                <w:bCs w:val="1"/>
                <w:color w:val="00497F"/>
              </w:rPr>
              <w:t>—</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540" w:type="dxa"/>
            <w:vAlign w:val="bottom"/>
          </w:tcPr>
          <w:p>
            <w:pPr>
              <w:ind w:left="220"/>
              <w:spacing w:after="0"/>
              <w:rPr>
                <w:sz w:val="20"/>
                <w:szCs w:val="20"/>
                <w:color w:val="auto"/>
              </w:rPr>
            </w:pPr>
            <w:r>
              <w:rPr>
                <w:rFonts w:ascii="Arial" w:cs="Arial" w:eastAsia="Arial" w:hAnsi="Arial"/>
                <w:sz w:val="10"/>
                <w:szCs w:val="10"/>
                <w:color w:val="auto"/>
              </w:rPr>
              <w:t>Preferred stock, $1 par; 10,000,000 shares authorized, none issued</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Common stock, $0.16 2/3 par; 300,000,000 shares authorized; 198,648,742 issued at March 31, 2021</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33</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33</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Capital in excess of par value</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2,712</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2,705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Retained earnings</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21,252</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20,517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Accumulated other comprehensive income</w:t>
            </w:r>
          </w:p>
        </w:tc>
        <w:tc>
          <w:tcPr>
            <w:tcW w:w="200" w:type="dxa"/>
            <w:vAlign w:val="bottom"/>
            <w:tcBorders>
              <w:left w:val="single" w:sz="8" w:color="auto"/>
            </w:tcBorders>
          </w:tcPr>
          <w:p>
            <w:pPr>
              <w:spacing w:after="0"/>
              <w:rPr>
                <w:sz w:val="10"/>
                <w:szCs w:val="10"/>
                <w:color w:val="auto"/>
              </w:rPr>
            </w:pPr>
          </w:p>
        </w:tc>
        <w:tc>
          <w:tcPr>
            <w:tcW w:w="940" w:type="dxa"/>
            <w:vAlign w:val="bottom"/>
            <w:tcBorders>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108</w:t>
            </w:r>
          </w:p>
        </w:tc>
        <w:tc>
          <w:tcPr>
            <w:tcW w:w="120" w:type="dxa"/>
            <w:vAlign w:val="bottom"/>
          </w:tcPr>
          <w:p>
            <w:pPr>
              <w:spacing w:after="0"/>
              <w:rPr>
                <w:sz w:val="10"/>
                <w:szCs w:val="10"/>
                <w:color w:val="auto"/>
              </w:rPr>
            </w:pPr>
          </w:p>
        </w:tc>
        <w:tc>
          <w:tcPr>
            <w:tcW w:w="940" w:type="dxa"/>
            <w:vAlign w:val="bottom"/>
          </w:tcPr>
          <w:p>
            <w:pPr>
              <w:jc w:val="right"/>
              <w:ind w:right="92"/>
              <w:spacing w:after="0"/>
              <w:rPr>
                <w:sz w:val="20"/>
                <w:szCs w:val="20"/>
                <w:color w:val="auto"/>
              </w:rPr>
            </w:pPr>
            <w:r>
              <w:rPr>
                <w:rFonts w:ascii="Arial" w:cs="Arial" w:eastAsia="Arial" w:hAnsi="Arial"/>
                <w:sz w:val="10"/>
                <w:szCs w:val="10"/>
                <w:color w:val="auto"/>
              </w:rPr>
              <w:t>391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40" w:type="dxa"/>
            <w:vAlign w:val="bottom"/>
          </w:tcPr>
          <w:p>
            <w:pPr>
              <w:ind w:left="220"/>
              <w:spacing w:after="0"/>
              <w:rPr>
                <w:sz w:val="20"/>
                <w:szCs w:val="20"/>
                <w:color w:val="auto"/>
              </w:rPr>
            </w:pPr>
            <w:r>
              <w:rPr>
                <w:rFonts w:ascii="Arial" w:cs="Arial" w:eastAsia="Arial" w:hAnsi="Arial"/>
                <w:sz w:val="10"/>
                <w:szCs w:val="10"/>
                <w:color w:val="auto"/>
              </w:rPr>
              <w:t>Treasury stock, at cost, 69,634,315 shares at March 31, 2021</w:t>
            </w:r>
          </w:p>
        </w:tc>
        <w:tc>
          <w:tcPr>
            <w:tcW w:w="200" w:type="dxa"/>
            <w:vAlign w:val="bottom"/>
            <w:tcBorders>
              <w:left w:val="single" w:sz="8" w:color="auto"/>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(9,915)</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(9,918)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540" w:type="dxa"/>
            <w:vAlign w:val="bottom"/>
          </w:tcPr>
          <w:p>
            <w:pPr>
              <w:ind w:left="440"/>
              <w:spacing w:after="0" w:line="107" w:lineRule="exact"/>
              <w:rPr>
                <w:sz w:val="20"/>
                <w:szCs w:val="20"/>
                <w:color w:val="auto"/>
              </w:rPr>
            </w:pPr>
            <w:r>
              <w:rPr>
                <w:rFonts w:ascii="Arial" w:cs="Arial" w:eastAsia="Arial" w:hAnsi="Arial"/>
                <w:sz w:val="10"/>
                <w:szCs w:val="10"/>
                <w:b w:val="1"/>
                <w:bCs w:val="1"/>
                <w:color w:val="auto"/>
              </w:rPr>
              <w:t>Total stockholders’ equity</w:t>
            </w:r>
          </w:p>
        </w:tc>
        <w:tc>
          <w:tcPr>
            <w:tcW w:w="200" w:type="dxa"/>
            <w:vAlign w:val="bottom"/>
            <w:tcBorders>
              <w:left w:val="single" w:sz="8" w:color="auto"/>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14,190</w:t>
            </w: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13,728</w:t>
            </w:r>
          </w:p>
        </w:tc>
        <w:tc>
          <w:tcPr>
            <w:tcW w:w="2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462</w:t>
            </w:r>
          </w:p>
        </w:tc>
        <w:tc>
          <w:tcPr>
            <w:tcW w:w="940" w:type="dxa"/>
            <w:vAlign w:val="bottom"/>
          </w:tcPr>
          <w:p>
            <w:pPr>
              <w:jc w:val="right"/>
              <w:spacing w:after="0"/>
              <w:rPr>
                <w:sz w:val="20"/>
                <w:szCs w:val="20"/>
                <w:color w:val="auto"/>
              </w:rPr>
            </w:pPr>
            <w:r>
              <w:rPr>
                <w:rFonts w:ascii="Arial" w:cs="Arial" w:eastAsia="Arial" w:hAnsi="Arial"/>
                <w:sz w:val="10"/>
                <w:szCs w:val="10"/>
                <w:color w:val="auto"/>
              </w:rPr>
              <w:t>3.4 %</w:t>
            </w:r>
          </w:p>
        </w:tc>
        <w:tc>
          <w:tcPr>
            <w:tcW w:w="0" w:type="dxa"/>
            <w:vAlign w:val="bottom"/>
          </w:tcPr>
          <w:p>
            <w:pPr>
              <w:spacing w:after="0"/>
              <w:rPr>
                <w:sz w:val="1"/>
                <w:szCs w:val="1"/>
                <w:color w:val="auto"/>
              </w:rPr>
            </w:pPr>
          </w:p>
        </w:tc>
      </w:tr>
      <w:tr>
        <w:trPr>
          <w:trHeight w:val="142"/>
        </w:trPr>
        <w:tc>
          <w:tcPr>
            <w:tcW w:w="5540" w:type="dxa"/>
            <w:vAlign w:val="bottom"/>
          </w:tcPr>
          <w:p>
            <w:pPr>
              <w:spacing w:after="0"/>
              <w:rPr>
                <w:sz w:val="20"/>
                <w:szCs w:val="20"/>
                <w:color w:val="auto"/>
              </w:rPr>
            </w:pPr>
            <w:r>
              <w:rPr>
                <w:rFonts w:ascii="Arial" w:cs="Arial" w:eastAsia="Arial" w:hAnsi="Arial"/>
                <w:sz w:val="10"/>
                <w:szCs w:val="10"/>
                <w:b w:val="1"/>
                <w:bCs w:val="1"/>
                <w:color w:val="auto"/>
              </w:rPr>
              <w:t>Total liabilities and stockholders’ equity</w:t>
            </w:r>
          </w:p>
        </w:tc>
        <w:tc>
          <w:tcPr>
            <w:tcW w:w="200" w:type="dxa"/>
            <w:vAlign w:val="bottom"/>
            <w:tcBorders>
              <w:left w:val="single" w:sz="8" w:color="auto"/>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00497F"/>
              </w:rPr>
              <w:t>$</w:t>
            </w:r>
          </w:p>
        </w:tc>
        <w:tc>
          <w:tcPr>
            <w:tcW w:w="94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0"/>
                <w:szCs w:val="10"/>
                <w:b w:val="1"/>
                <w:bCs w:val="1"/>
                <w:color w:val="00497F"/>
              </w:rPr>
              <w:t>37,415</w:t>
            </w:r>
          </w:p>
        </w:tc>
        <w:tc>
          <w:tcPr>
            <w:tcW w:w="120" w:type="dxa"/>
            <w:vAlign w:val="bottom"/>
            <w:tcBorders>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9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34,969</w:t>
            </w:r>
          </w:p>
        </w:tc>
        <w:tc>
          <w:tcPr>
            <w:tcW w:w="2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72"/>
              <w:spacing w:after="0"/>
              <w:rPr>
                <w:sz w:val="20"/>
                <w:szCs w:val="20"/>
                <w:color w:val="auto"/>
              </w:rPr>
            </w:pPr>
            <w:r>
              <w:rPr>
                <w:rFonts w:ascii="Arial" w:cs="Arial" w:eastAsia="Arial" w:hAnsi="Arial"/>
                <w:sz w:val="10"/>
                <w:szCs w:val="10"/>
                <w:color w:val="auto"/>
              </w:rPr>
              <w:t>2,446</w:t>
            </w:r>
          </w:p>
        </w:tc>
        <w:tc>
          <w:tcPr>
            <w:tcW w:w="940" w:type="dxa"/>
            <w:vAlign w:val="bottom"/>
          </w:tcPr>
          <w:p>
            <w:pPr>
              <w:jc w:val="right"/>
              <w:spacing w:after="0"/>
              <w:rPr>
                <w:sz w:val="20"/>
                <w:szCs w:val="20"/>
                <w:color w:val="auto"/>
              </w:rPr>
            </w:pPr>
            <w:r>
              <w:rPr>
                <w:rFonts w:ascii="Arial" w:cs="Arial" w:eastAsia="Arial" w:hAnsi="Arial"/>
                <w:sz w:val="10"/>
                <w:szCs w:val="10"/>
                <w:color w:val="auto"/>
              </w:rPr>
              <w:t>7.0 %</w:t>
            </w:r>
          </w:p>
        </w:tc>
        <w:tc>
          <w:tcPr>
            <w:tcW w:w="0" w:type="dxa"/>
            <w:vAlign w:val="bottom"/>
          </w:tcPr>
          <w:p>
            <w:pPr>
              <w:spacing w:after="0"/>
              <w:rPr>
                <w:sz w:val="1"/>
                <w:szCs w:val="1"/>
                <w:color w:val="auto"/>
              </w:rPr>
            </w:pPr>
          </w:p>
        </w:tc>
      </w:tr>
      <w:tr>
        <w:trPr>
          <w:trHeight w:val="115"/>
        </w:trPr>
        <w:tc>
          <w:tcPr>
            <w:tcW w:w="5540" w:type="dxa"/>
            <w:vAlign w:val="bottom"/>
          </w:tcPr>
          <w:p>
            <w:pPr>
              <w:spacing w:after="0"/>
              <w:rPr>
                <w:sz w:val="20"/>
                <w:szCs w:val="20"/>
                <w:color w:val="auto"/>
              </w:rPr>
            </w:pPr>
            <w:r>
              <w:rPr>
                <w:rFonts w:ascii="Arial" w:cs="Arial" w:eastAsia="Arial" w:hAnsi="Arial"/>
                <w:sz w:val="10"/>
                <w:szCs w:val="10"/>
                <w:color w:val="auto"/>
              </w:rPr>
              <w:t>Debt-to-total capitalization ratio</w:t>
            </w:r>
          </w:p>
        </w:tc>
        <w:tc>
          <w:tcPr>
            <w:tcW w:w="200" w:type="dxa"/>
            <w:vAlign w:val="bottom"/>
            <w:tcBorders>
              <w:left w:val="single" w:sz="8" w:color="auto"/>
              <w:bottom w:val="single" w:sz="8" w:color="auto"/>
            </w:tcBorders>
          </w:tcPr>
          <w:p>
            <w:pPr>
              <w:spacing w:after="0"/>
              <w:rPr>
                <w:sz w:val="10"/>
                <w:szCs w:val="10"/>
                <w:color w:val="auto"/>
              </w:rPr>
            </w:pPr>
          </w:p>
        </w:tc>
        <w:tc>
          <w:tcPr>
            <w:tcW w:w="9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33.9 %</w:t>
            </w:r>
          </w:p>
        </w:tc>
        <w:tc>
          <w:tcPr>
            <w:tcW w:w="12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color w:val="auto"/>
              </w:rPr>
              <w:t>32.7 %</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S-4</w:t>
      </w:r>
    </w:p>
    <w:p>
      <w:pPr>
        <w:sectPr>
          <w:pgSz w:w="11900" w:h="16838" w:orient="portrait"/>
          <w:cols w:equalWidth="0" w:num="1">
            <w:col w:w="10159"/>
          </w:cols>
          <w:pgMar w:left="300" w:top="785" w:right="1440"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auto"/>
        </w:rPr>
        <w:t>Humana Inc.</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Dollars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440" w:type="dxa"/>
            <w:vAlign w:val="bottom"/>
            <w:tcBorders>
              <w:right w:val="single" w:sz="8" w:color="auto"/>
            </w:tcBorders>
          </w:tcPr>
          <w:p>
            <w:pPr>
              <w:spacing w:after="0"/>
              <w:rPr>
                <w:sz w:val="10"/>
                <w:szCs w:val="10"/>
                <w:color w:val="auto"/>
              </w:rPr>
            </w:pPr>
          </w:p>
        </w:tc>
        <w:tc>
          <w:tcPr>
            <w:tcW w:w="2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For the three months ended March 31,</w:t>
            </w:r>
          </w:p>
        </w:tc>
        <w:tc>
          <w:tcPr>
            <w:tcW w:w="360" w:type="dxa"/>
            <w:vAlign w:val="bottom"/>
            <w:tcBorders>
              <w:top w:val="single" w:sz="8" w:color="auto"/>
              <w:bottom w:val="single" w:sz="8" w:color="auto"/>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544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jc w:val="right"/>
              <w:ind w:right="412"/>
              <w:spacing w:after="0" w:line="106" w:lineRule="exact"/>
              <w:rPr>
                <w:sz w:val="20"/>
                <w:szCs w:val="20"/>
                <w:color w:val="auto"/>
              </w:rPr>
            </w:pPr>
            <w:r>
              <w:rPr>
                <w:rFonts w:ascii="Arial" w:cs="Arial" w:eastAsia="Arial" w:hAnsi="Arial"/>
                <w:sz w:val="10"/>
                <w:szCs w:val="10"/>
                <w:color w:val="auto"/>
              </w:rPr>
              <w:t>Dollar</w:t>
            </w:r>
          </w:p>
        </w:tc>
        <w:tc>
          <w:tcPr>
            <w:tcW w:w="880" w:type="dxa"/>
            <w:vAlign w:val="bottom"/>
          </w:tcPr>
          <w:p>
            <w:pPr>
              <w:jc w:val="right"/>
              <w:ind w:right="212"/>
              <w:spacing w:after="0" w:line="106" w:lineRule="exact"/>
              <w:rPr>
                <w:sz w:val="20"/>
                <w:szCs w:val="20"/>
                <w:color w:val="auto"/>
              </w:rPr>
            </w:pPr>
            <w:r>
              <w:rPr>
                <w:rFonts w:ascii="Arial" w:cs="Arial" w:eastAsia="Arial" w:hAnsi="Arial"/>
                <w:sz w:val="10"/>
                <w:szCs w:val="10"/>
                <w:color w:val="auto"/>
              </w:rPr>
              <w:t>Percentage</w:t>
            </w: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vMerge w:val="restart"/>
          </w:tcPr>
          <w:p>
            <w:pPr>
              <w:spacing w:after="0"/>
              <w:rPr>
                <w:sz w:val="20"/>
                <w:szCs w:val="20"/>
                <w:color w:val="auto"/>
              </w:rPr>
            </w:pPr>
            <w:r>
              <w:rPr>
                <w:rFonts w:ascii="Arial" w:cs="Arial" w:eastAsia="Arial" w:hAnsi="Arial"/>
                <w:sz w:val="10"/>
                <w:szCs w:val="10"/>
                <w:b w:val="1"/>
                <w:bCs w:val="1"/>
                <w:color w:val="auto"/>
              </w:rPr>
              <w:t>Cash flows from operating activities</w:t>
            </w: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00497F"/>
              </w:rPr>
              <w:t>2021</w:t>
            </w:r>
          </w:p>
        </w:tc>
        <w:tc>
          <w:tcPr>
            <w:tcW w:w="44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2020</w:t>
            </w:r>
          </w:p>
        </w:tc>
        <w:tc>
          <w:tcPr>
            <w:tcW w:w="3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0"/>
                <w:szCs w:val="10"/>
                <w:color w:val="auto"/>
              </w:rPr>
              <w:t>Change</w:t>
            </w: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rPr>
              <w:t>Change</w:t>
            </w:r>
          </w:p>
        </w:tc>
        <w:tc>
          <w:tcPr>
            <w:tcW w:w="0" w:type="dxa"/>
            <w:vAlign w:val="bottom"/>
          </w:tcPr>
          <w:p>
            <w:pPr>
              <w:spacing w:after="0"/>
              <w:rPr>
                <w:sz w:val="1"/>
                <w:szCs w:val="1"/>
                <w:color w:val="auto"/>
              </w:rPr>
            </w:pPr>
          </w:p>
        </w:tc>
      </w:tr>
      <w:tr>
        <w:trPr>
          <w:trHeight w:val="107"/>
        </w:trPr>
        <w:tc>
          <w:tcPr>
            <w:tcW w:w="5440" w:type="dxa"/>
            <w:vAlign w:val="bottom"/>
            <w:tcBorders>
              <w:right w:val="single" w:sz="8" w:color="auto"/>
            </w:tcBorders>
            <w:vMerge w:val="continue"/>
          </w:tcPr>
          <w:p>
            <w:pPr>
              <w:spacing w:after="0"/>
              <w:rPr>
                <w:sz w:val="9"/>
                <w:szCs w:val="9"/>
                <w:color w:val="auto"/>
              </w:rPr>
            </w:pPr>
          </w:p>
        </w:tc>
        <w:tc>
          <w:tcPr>
            <w:tcW w:w="800" w:type="dxa"/>
            <w:vAlign w:val="bottom"/>
            <w:vMerge w:val="restart"/>
          </w:tcPr>
          <w:p>
            <w:pPr>
              <w:jc w:val="right"/>
              <w:ind w:right="692"/>
              <w:spacing w:after="0"/>
              <w:rPr>
                <w:sz w:val="20"/>
                <w:szCs w:val="20"/>
                <w:color w:val="auto"/>
              </w:rPr>
            </w:pPr>
            <w:r>
              <w:rPr>
                <w:rFonts w:ascii="Arial" w:cs="Arial" w:eastAsia="Arial" w:hAnsi="Arial"/>
                <w:sz w:val="10"/>
                <w:szCs w:val="10"/>
                <w:b w:val="1"/>
                <w:bCs w:val="1"/>
                <w:color w:val="00497F"/>
                <w:w w:val="71"/>
              </w:rPr>
              <w:t>$</w:t>
            </w:r>
          </w:p>
        </w:tc>
        <w:tc>
          <w:tcPr>
            <w:tcW w:w="4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0"/>
                <w:szCs w:val="10"/>
                <w:b w:val="1"/>
                <w:bCs w:val="1"/>
                <w:color w:val="00497F"/>
              </w:rPr>
              <w:t>828</w:t>
            </w: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Net income</w:t>
            </w:r>
          </w:p>
        </w:tc>
        <w:tc>
          <w:tcPr>
            <w:tcW w:w="800" w:type="dxa"/>
            <w:vAlign w:val="bottom"/>
            <w:vMerge w:val="continue"/>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80" w:type="dxa"/>
            <w:vAlign w:val="bottom"/>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ind w:right="32"/>
              <w:spacing w:after="0"/>
              <w:rPr>
                <w:sz w:val="20"/>
                <w:szCs w:val="20"/>
                <w:color w:val="auto"/>
              </w:rPr>
            </w:pPr>
            <w:r>
              <w:rPr>
                <w:rFonts w:ascii="Arial" w:cs="Arial" w:eastAsia="Arial" w:hAnsi="Arial"/>
                <w:sz w:val="10"/>
                <w:szCs w:val="10"/>
                <w:color w:val="auto"/>
              </w:rPr>
              <w:t>473</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40"/>
              <w:spacing w:after="0"/>
              <w:rPr>
                <w:sz w:val="20"/>
                <w:szCs w:val="20"/>
                <w:color w:val="auto"/>
              </w:rPr>
            </w:pPr>
            <w:r>
              <w:rPr>
                <w:rFonts w:ascii="Arial" w:cs="Arial" w:eastAsia="Arial" w:hAnsi="Arial"/>
                <w:sz w:val="10"/>
                <w:szCs w:val="10"/>
                <w:color w:val="auto"/>
              </w:rPr>
              <w:t>Adjustments to reconcile net income to net cash (used in) provided by operating activities:</w:t>
            </w:r>
          </w:p>
        </w:tc>
        <w:tc>
          <w:tcPr>
            <w:tcW w:w="800" w:type="dxa"/>
            <w:vAlign w:val="bottom"/>
          </w:tcPr>
          <w:p>
            <w:pPr>
              <w:spacing w:after="0"/>
              <w:rPr>
                <w:sz w:val="10"/>
                <w:szCs w:val="10"/>
                <w:color w:val="auto"/>
              </w:rPr>
            </w:pPr>
          </w:p>
        </w:tc>
        <w:tc>
          <w:tcPr>
            <w:tcW w:w="4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0"/>
                <w:szCs w:val="10"/>
                <w:b w:val="1"/>
                <w:bCs w:val="1"/>
                <w:color w:val="00497F"/>
              </w:rPr>
              <w:t>153</w:t>
            </w: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Depreciation</w:t>
            </w:r>
          </w:p>
        </w:tc>
        <w:tc>
          <w:tcPr>
            <w:tcW w:w="80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jc w:val="right"/>
              <w:ind w:right="32"/>
              <w:spacing w:after="0"/>
              <w:rPr>
                <w:sz w:val="20"/>
                <w:szCs w:val="20"/>
                <w:color w:val="auto"/>
              </w:rPr>
            </w:pPr>
            <w:r>
              <w:rPr>
                <w:rFonts w:ascii="Arial" w:cs="Arial" w:eastAsia="Arial" w:hAnsi="Arial"/>
                <w:sz w:val="10"/>
                <w:szCs w:val="10"/>
                <w:color w:val="auto"/>
              </w:rPr>
              <w:t>124</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Amortization</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15</w:t>
            </w:r>
          </w:p>
        </w:tc>
        <w:tc>
          <w:tcPr>
            <w:tcW w:w="880" w:type="dxa"/>
            <w:vAlign w:val="bottom"/>
          </w:tcPr>
          <w:p>
            <w:pPr>
              <w:spacing w:after="0"/>
              <w:rPr>
                <w:sz w:val="10"/>
                <w:szCs w:val="10"/>
                <w:color w:val="auto"/>
              </w:rPr>
            </w:pPr>
          </w:p>
        </w:tc>
        <w:tc>
          <w:tcPr>
            <w:tcW w:w="360" w:type="dxa"/>
            <w:vAlign w:val="bottom"/>
          </w:tcPr>
          <w:p>
            <w:pPr>
              <w:jc w:val="right"/>
              <w:ind w:right="32"/>
              <w:spacing w:after="0"/>
              <w:rPr>
                <w:sz w:val="20"/>
                <w:szCs w:val="20"/>
                <w:color w:val="auto"/>
              </w:rPr>
            </w:pPr>
            <w:r>
              <w:rPr>
                <w:rFonts w:ascii="Arial" w:cs="Arial" w:eastAsia="Arial" w:hAnsi="Arial"/>
                <w:sz w:val="10"/>
                <w:szCs w:val="10"/>
                <w:color w:val="auto"/>
              </w:rPr>
              <w:t>21</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Gains on investment securities, net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(10)</w:t>
            </w:r>
          </w:p>
        </w:tc>
        <w:tc>
          <w:tcPr>
            <w:tcW w:w="8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(49)</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Equity in net earnings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(21)</w:t>
            </w:r>
          </w:p>
        </w:tc>
        <w:tc>
          <w:tcPr>
            <w:tcW w:w="8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(8)</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Stock-based compensation</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39</w:t>
            </w:r>
          </w:p>
        </w:tc>
        <w:tc>
          <w:tcPr>
            <w:tcW w:w="880" w:type="dxa"/>
            <w:vAlign w:val="bottom"/>
          </w:tcPr>
          <w:p>
            <w:pPr>
              <w:spacing w:after="0"/>
              <w:rPr>
                <w:sz w:val="10"/>
                <w:szCs w:val="10"/>
                <w:color w:val="auto"/>
              </w:rPr>
            </w:pPr>
          </w:p>
        </w:tc>
        <w:tc>
          <w:tcPr>
            <w:tcW w:w="360" w:type="dxa"/>
            <w:vAlign w:val="bottom"/>
          </w:tcPr>
          <w:p>
            <w:pPr>
              <w:jc w:val="right"/>
              <w:ind w:right="32"/>
              <w:spacing w:after="0"/>
              <w:rPr>
                <w:sz w:val="20"/>
                <w:szCs w:val="20"/>
                <w:color w:val="auto"/>
              </w:rPr>
            </w:pPr>
            <w:r>
              <w:rPr>
                <w:rFonts w:ascii="Arial" w:cs="Arial" w:eastAsia="Arial" w:hAnsi="Arial"/>
                <w:sz w:val="10"/>
                <w:szCs w:val="10"/>
                <w:color w:val="auto"/>
              </w:rPr>
              <w:t>36</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Benefit for deferred income taxes</w:t>
            </w:r>
          </w:p>
        </w:tc>
        <w:tc>
          <w:tcPr>
            <w:tcW w:w="800" w:type="dxa"/>
            <w:vAlign w:val="bottom"/>
          </w:tcPr>
          <w:p>
            <w:pPr>
              <w:spacing w:after="0"/>
              <w:rPr>
                <w:sz w:val="11"/>
                <w:szCs w:val="11"/>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w:t>
            </w:r>
          </w:p>
        </w:tc>
        <w:tc>
          <w:tcPr>
            <w:tcW w:w="8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(3)</w:t>
            </w: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Changes in operating assets and liabilities, net of effect of businesses acquired and dispositions:</w:t>
            </w:r>
          </w:p>
        </w:tc>
        <w:tc>
          <w:tcPr>
            <w:tcW w:w="800" w:type="dxa"/>
            <w:vAlign w:val="bottom"/>
          </w:tcPr>
          <w:p>
            <w:pPr>
              <w:spacing w:after="0"/>
              <w:rPr>
                <w:sz w:val="10"/>
                <w:szCs w:val="10"/>
                <w:color w:val="auto"/>
              </w:rPr>
            </w:pPr>
          </w:p>
        </w:tc>
        <w:tc>
          <w:tcPr>
            <w:tcW w:w="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0"/>
                <w:szCs w:val="10"/>
                <w:b w:val="1"/>
                <w:bCs w:val="1"/>
                <w:color w:val="00497F"/>
              </w:rPr>
              <w:t>(1,049)</w:t>
            </w: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Receivables</w:t>
            </w:r>
          </w:p>
        </w:tc>
        <w:tc>
          <w:tcPr>
            <w:tcW w:w="80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(953)</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Other assets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(1,095)</w:t>
            </w:r>
          </w:p>
        </w:tc>
        <w:tc>
          <w:tcPr>
            <w:tcW w:w="8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w w:val="94"/>
              </w:rPr>
              <w:t>(1,470)</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Benefits payable</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466</w:t>
            </w:r>
          </w:p>
        </w:tc>
        <w:tc>
          <w:tcPr>
            <w:tcW w:w="880" w:type="dxa"/>
            <w:vAlign w:val="bottom"/>
          </w:tcPr>
          <w:p>
            <w:pPr>
              <w:spacing w:after="0"/>
              <w:rPr>
                <w:sz w:val="10"/>
                <w:szCs w:val="10"/>
                <w:color w:val="auto"/>
              </w:rPr>
            </w:pPr>
          </w:p>
        </w:tc>
        <w:tc>
          <w:tcPr>
            <w:tcW w:w="360" w:type="dxa"/>
            <w:vAlign w:val="bottom"/>
          </w:tcPr>
          <w:p>
            <w:pPr>
              <w:jc w:val="right"/>
              <w:ind w:right="32"/>
              <w:spacing w:after="0"/>
              <w:rPr>
                <w:sz w:val="20"/>
                <w:szCs w:val="20"/>
                <w:color w:val="auto"/>
              </w:rPr>
            </w:pPr>
            <w:r>
              <w:rPr>
                <w:rFonts w:ascii="Arial" w:cs="Arial" w:eastAsia="Arial" w:hAnsi="Arial"/>
                <w:sz w:val="10"/>
                <w:szCs w:val="10"/>
                <w:color w:val="auto"/>
              </w:rPr>
              <w:t>1,086</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Other liabilities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(151)</w:t>
            </w:r>
          </w:p>
        </w:tc>
        <w:tc>
          <w:tcPr>
            <w:tcW w:w="880" w:type="dxa"/>
            <w:vAlign w:val="bottom"/>
          </w:tcPr>
          <w:p>
            <w:pPr>
              <w:spacing w:after="0"/>
              <w:rPr>
                <w:sz w:val="10"/>
                <w:szCs w:val="10"/>
                <w:color w:val="auto"/>
              </w:rPr>
            </w:pPr>
          </w:p>
        </w:tc>
        <w:tc>
          <w:tcPr>
            <w:tcW w:w="360" w:type="dxa"/>
            <w:vAlign w:val="bottom"/>
          </w:tcPr>
          <w:p>
            <w:pPr>
              <w:jc w:val="right"/>
              <w:ind w:right="32"/>
              <w:spacing w:after="0"/>
              <w:rPr>
                <w:sz w:val="20"/>
                <w:szCs w:val="20"/>
                <w:color w:val="auto"/>
              </w:rPr>
            </w:pPr>
            <w:r>
              <w:rPr>
                <w:rFonts w:ascii="Arial" w:cs="Arial" w:eastAsia="Arial" w:hAnsi="Arial"/>
                <w:sz w:val="10"/>
                <w:szCs w:val="10"/>
                <w:color w:val="auto"/>
              </w:rPr>
              <w:t>1,203</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740"/>
              <w:spacing w:after="0"/>
              <w:rPr>
                <w:sz w:val="20"/>
                <w:szCs w:val="20"/>
                <w:color w:val="auto"/>
              </w:rPr>
            </w:pPr>
            <w:r>
              <w:rPr>
                <w:rFonts w:ascii="Arial" w:cs="Arial" w:eastAsia="Arial" w:hAnsi="Arial"/>
                <w:sz w:val="10"/>
                <w:szCs w:val="10"/>
                <w:color w:val="auto"/>
              </w:rPr>
              <w:t>Unearned revenues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7</w:t>
            </w:r>
          </w:p>
        </w:tc>
        <w:tc>
          <w:tcPr>
            <w:tcW w:w="880" w:type="dxa"/>
            <w:vAlign w:val="bottom"/>
          </w:tcPr>
          <w:p>
            <w:pPr>
              <w:spacing w:after="0"/>
              <w:rPr>
                <w:sz w:val="10"/>
                <w:szCs w:val="10"/>
                <w:color w:val="auto"/>
              </w:rPr>
            </w:pPr>
          </w:p>
        </w:tc>
        <w:tc>
          <w:tcPr>
            <w:tcW w:w="360" w:type="dxa"/>
            <w:vAlign w:val="bottom"/>
          </w:tcPr>
          <w:p>
            <w:pPr>
              <w:jc w:val="right"/>
              <w:ind w:right="32"/>
              <w:spacing w:after="0"/>
              <w:rPr>
                <w:sz w:val="20"/>
                <w:szCs w:val="20"/>
                <w:color w:val="auto"/>
              </w:rPr>
            </w:pPr>
            <w:r>
              <w:rPr>
                <w:rFonts w:ascii="Arial" w:cs="Arial" w:eastAsia="Arial" w:hAnsi="Arial"/>
                <w:sz w:val="10"/>
                <w:szCs w:val="10"/>
                <w:color w:val="auto"/>
              </w:rPr>
              <w:t>27</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440"/>
              <w:spacing w:after="0"/>
              <w:rPr>
                <w:sz w:val="20"/>
                <w:szCs w:val="20"/>
                <w:color w:val="auto"/>
              </w:rPr>
            </w:pPr>
            <w:r>
              <w:rPr>
                <w:rFonts w:ascii="Arial" w:cs="Arial" w:eastAsia="Arial" w:hAnsi="Arial"/>
                <w:sz w:val="10"/>
                <w:szCs w:val="10"/>
                <w:color w:val="auto"/>
              </w:rPr>
              <w:t>Other, net</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(19)</w:t>
            </w: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Net cash (used in) provided by operating activities</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00497F"/>
              </w:rPr>
              <w:t>(837)</w:t>
            </w: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474</w:t>
            </w:r>
          </w:p>
        </w:tc>
        <w:tc>
          <w:tcPr>
            <w:tcW w:w="1260" w:type="dxa"/>
            <w:vAlign w:val="bottom"/>
            <w:gridSpan w:val="2"/>
          </w:tcPr>
          <w:p>
            <w:pPr>
              <w:jc w:val="right"/>
              <w:ind w:right="92"/>
              <w:spacing w:after="0"/>
              <w:rPr>
                <w:sz w:val="20"/>
                <w:szCs w:val="20"/>
                <w:color w:val="auto"/>
              </w:rPr>
            </w:pPr>
            <w:r>
              <w:rPr>
                <w:rFonts w:ascii="Arial" w:cs="Arial" w:eastAsia="Arial" w:hAnsi="Arial"/>
                <w:sz w:val="10"/>
                <w:szCs w:val="10"/>
                <w:color w:val="auto"/>
              </w:rPr>
              <w:t>($1,311)</w:t>
            </w:r>
          </w:p>
        </w:tc>
        <w:tc>
          <w:tcPr>
            <w:tcW w:w="880" w:type="dxa"/>
            <w:vAlign w:val="bottom"/>
          </w:tcPr>
          <w:p>
            <w:pPr>
              <w:jc w:val="right"/>
              <w:spacing w:after="0"/>
              <w:rPr>
                <w:sz w:val="20"/>
                <w:szCs w:val="20"/>
                <w:color w:val="auto"/>
              </w:rPr>
            </w:pPr>
            <w:r>
              <w:rPr>
                <w:rFonts w:ascii="Arial" w:cs="Arial" w:eastAsia="Arial" w:hAnsi="Arial"/>
                <w:sz w:val="10"/>
                <w:szCs w:val="10"/>
                <w:color w:val="auto"/>
              </w:rPr>
              <w:t>-276.6 %</w:t>
            </w:r>
          </w:p>
        </w:tc>
        <w:tc>
          <w:tcPr>
            <w:tcW w:w="0" w:type="dxa"/>
            <w:vAlign w:val="bottom"/>
          </w:tcPr>
          <w:p>
            <w:pPr>
              <w:spacing w:after="0"/>
              <w:rPr>
                <w:sz w:val="1"/>
                <w:szCs w:val="1"/>
                <w:color w:val="auto"/>
              </w:rPr>
            </w:pPr>
          </w:p>
        </w:tc>
      </w:tr>
      <w:tr>
        <w:trPr>
          <w:trHeight w:val="107"/>
        </w:trPr>
        <w:tc>
          <w:tcPr>
            <w:tcW w:w="5440" w:type="dxa"/>
            <w:vAlign w:val="bottom"/>
            <w:tcBorders>
              <w:right w:val="single" w:sz="8" w:color="auto"/>
            </w:tcBorders>
          </w:tcPr>
          <w:p>
            <w:pPr>
              <w:spacing w:after="0" w:line="107" w:lineRule="exact"/>
              <w:rPr>
                <w:sz w:val="20"/>
                <w:szCs w:val="20"/>
                <w:color w:val="auto"/>
              </w:rPr>
            </w:pPr>
            <w:r>
              <w:rPr>
                <w:rFonts w:ascii="Arial" w:cs="Arial" w:eastAsia="Arial" w:hAnsi="Arial"/>
                <w:sz w:val="10"/>
                <w:szCs w:val="10"/>
                <w:b w:val="1"/>
                <w:bCs w:val="1"/>
                <w:color w:val="auto"/>
              </w:rPr>
              <w:t>Cash flows from investing activities</w:t>
            </w:r>
          </w:p>
        </w:tc>
        <w:tc>
          <w:tcPr>
            <w:tcW w:w="800" w:type="dxa"/>
            <w:vAlign w:val="bottom"/>
          </w:tcPr>
          <w:p>
            <w:pPr>
              <w:spacing w:after="0"/>
              <w:rPr>
                <w:sz w:val="9"/>
                <w:szCs w:val="9"/>
                <w:color w:val="auto"/>
              </w:rPr>
            </w:pPr>
          </w:p>
        </w:tc>
        <w:tc>
          <w:tcPr>
            <w:tcW w:w="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0"/>
                <w:szCs w:val="10"/>
                <w:b w:val="1"/>
                <w:bCs w:val="1"/>
                <w:color w:val="00497F"/>
              </w:rPr>
              <w:t>(123)</w:t>
            </w: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Acquisitions, net of cash acquired</w:t>
            </w:r>
          </w:p>
        </w:tc>
        <w:tc>
          <w:tcPr>
            <w:tcW w:w="80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(709)</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Purchases of property and equipment, net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(290)</w:t>
            </w:r>
          </w:p>
        </w:tc>
        <w:tc>
          <w:tcPr>
            <w:tcW w:w="8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(192)</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Purchases of investment securities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(3,720)</w:t>
            </w:r>
          </w:p>
        </w:tc>
        <w:tc>
          <w:tcPr>
            <w:tcW w:w="8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w w:val="94"/>
              </w:rPr>
              <w:t>(2,459)</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Maturities of investment securities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692</w:t>
            </w:r>
          </w:p>
        </w:tc>
        <w:tc>
          <w:tcPr>
            <w:tcW w:w="880" w:type="dxa"/>
            <w:vAlign w:val="bottom"/>
          </w:tcPr>
          <w:p>
            <w:pPr>
              <w:spacing w:after="0"/>
              <w:rPr>
                <w:sz w:val="10"/>
                <w:szCs w:val="10"/>
                <w:color w:val="auto"/>
              </w:rPr>
            </w:pPr>
          </w:p>
        </w:tc>
        <w:tc>
          <w:tcPr>
            <w:tcW w:w="360" w:type="dxa"/>
            <w:vAlign w:val="bottom"/>
          </w:tcPr>
          <w:p>
            <w:pPr>
              <w:jc w:val="right"/>
              <w:ind w:right="32"/>
              <w:spacing w:after="0"/>
              <w:rPr>
                <w:sz w:val="20"/>
                <w:szCs w:val="20"/>
                <w:color w:val="auto"/>
              </w:rPr>
            </w:pPr>
            <w:r>
              <w:rPr>
                <w:rFonts w:ascii="Arial" w:cs="Arial" w:eastAsia="Arial" w:hAnsi="Arial"/>
                <w:sz w:val="10"/>
                <w:szCs w:val="10"/>
                <w:color w:val="auto"/>
              </w:rPr>
              <w:t>735</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Proceeds from sales of investment securities</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1,953</w:t>
            </w: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1,415</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Net cash used in investing activities</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(1,488)</w:t>
            </w: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4"/>
              </w:rPr>
              <w:t>(1,210)</w:t>
            </w:r>
          </w:p>
        </w:tc>
        <w:tc>
          <w:tcPr>
            <w:tcW w:w="1260" w:type="dxa"/>
            <w:vAlign w:val="bottom"/>
            <w:gridSpan w:val="2"/>
          </w:tcPr>
          <w:p>
            <w:pPr>
              <w:jc w:val="right"/>
              <w:ind w:right="92"/>
              <w:spacing w:after="0"/>
              <w:rPr>
                <w:sz w:val="20"/>
                <w:szCs w:val="20"/>
                <w:color w:val="auto"/>
              </w:rPr>
            </w:pPr>
            <w:r>
              <w:rPr>
                <w:rFonts w:ascii="Arial" w:cs="Arial" w:eastAsia="Arial" w:hAnsi="Arial"/>
                <w:sz w:val="10"/>
                <w:szCs w:val="10"/>
                <w:color w:val="auto"/>
              </w:rPr>
              <w:t>($278)</w:t>
            </w:r>
          </w:p>
        </w:tc>
        <w:tc>
          <w:tcPr>
            <w:tcW w:w="880" w:type="dxa"/>
            <w:vAlign w:val="bottom"/>
          </w:tcPr>
          <w:p>
            <w:pPr>
              <w:jc w:val="right"/>
              <w:spacing w:after="0"/>
              <w:rPr>
                <w:sz w:val="20"/>
                <w:szCs w:val="20"/>
                <w:color w:val="auto"/>
              </w:rPr>
            </w:pPr>
            <w:r>
              <w:rPr>
                <w:rFonts w:ascii="Arial" w:cs="Arial" w:eastAsia="Arial" w:hAnsi="Arial"/>
                <w:sz w:val="10"/>
                <w:szCs w:val="10"/>
                <w:color w:val="auto"/>
              </w:rPr>
              <w:t>-23.0 %</w:t>
            </w:r>
          </w:p>
        </w:tc>
        <w:tc>
          <w:tcPr>
            <w:tcW w:w="0" w:type="dxa"/>
            <w:vAlign w:val="bottom"/>
          </w:tcPr>
          <w:p>
            <w:pPr>
              <w:spacing w:after="0"/>
              <w:rPr>
                <w:sz w:val="1"/>
                <w:szCs w:val="1"/>
                <w:color w:val="auto"/>
              </w:rPr>
            </w:pPr>
          </w:p>
        </w:tc>
      </w:tr>
      <w:tr>
        <w:trPr>
          <w:trHeight w:val="107"/>
        </w:trPr>
        <w:tc>
          <w:tcPr>
            <w:tcW w:w="5440" w:type="dxa"/>
            <w:vAlign w:val="bottom"/>
            <w:tcBorders>
              <w:right w:val="single" w:sz="8" w:color="auto"/>
            </w:tcBorders>
          </w:tcPr>
          <w:p>
            <w:pPr>
              <w:spacing w:after="0" w:line="107" w:lineRule="exact"/>
              <w:rPr>
                <w:sz w:val="20"/>
                <w:szCs w:val="20"/>
                <w:color w:val="auto"/>
              </w:rPr>
            </w:pPr>
            <w:r>
              <w:rPr>
                <w:rFonts w:ascii="Arial" w:cs="Arial" w:eastAsia="Arial" w:hAnsi="Arial"/>
                <w:sz w:val="10"/>
                <w:szCs w:val="10"/>
                <w:b w:val="1"/>
                <w:bCs w:val="1"/>
                <w:color w:val="auto"/>
              </w:rPr>
              <w:t>Cash flows from financing activities</w:t>
            </w:r>
          </w:p>
        </w:tc>
        <w:tc>
          <w:tcPr>
            <w:tcW w:w="800" w:type="dxa"/>
            <w:vAlign w:val="bottom"/>
          </w:tcPr>
          <w:p>
            <w:pPr>
              <w:spacing w:after="0"/>
              <w:rPr>
                <w:sz w:val="9"/>
                <w:szCs w:val="9"/>
                <w:color w:val="auto"/>
              </w:rPr>
            </w:pPr>
          </w:p>
        </w:tc>
        <w:tc>
          <w:tcPr>
            <w:tcW w:w="4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10"/>
                <w:szCs w:val="10"/>
                <w:b w:val="1"/>
                <w:bCs w:val="1"/>
                <w:color w:val="00497F"/>
              </w:rPr>
              <w:t>1,015</w:t>
            </w: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Receipts from contract deposits, net</w:t>
            </w:r>
          </w:p>
        </w:tc>
        <w:tc>
          <w:tcPr>
            <w:tcW w:w="800" w:type="dxa"/>
            <w:vAlign w:val="bottom"/>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jc w:val="right"/>
              <w:ind w:right="32"/>
              <w:spacing w:after="0"/>
              <w:rPr>
                <w:sz w:val="20"/>
                <w:szCs w:val="20"/>
                <w:color w:val="auto"/>
              </w:rPr>
            </w:pPr>
            <w:r>
              <w:rPr>
                <w:rFonts w:ascii="Arial" w:cs="Arial" w:eastAsia="Arial" w:hAnsi="Arial"/>
                <w:sz w:val="10"/>
                <w:szCs w:val="10"/>
                <w:color w:val="auto"/>
              </w:rPr>
              <w:t>574</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Proceeds from issuance of commercial paper, net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603</w:t>
            </w:r>
          </w:p>
        </w:tc>
        <w:tc>
          <w:tcPr>
            <w:tcW w:w="880" w:type="dxa"/>
            <w:vAlign w:val="bottom"/>
          </w:tcPr>
          <w:p>
            <w:pPr>
              <w:spacing w:after="0"/>
              <w:rPr>
                <w:sz w:val="10"/>
                <w:szCs w:val="10"/>
                <w:color w:val="auto"/>
              </w:rPr>
            </w:pPr>
          </w:p>
        </w:tc>
        <w:tc>
          <w:tcPr>
            <w:tcW w:w="360" w:type="dxa"/>
            <w:vAlign w:val="bottom"/>
          </w:tcPr>
          <w:p>
            <w:pPr>
              <w:jc w:val="right"/>
              <w:ind w:right="32"/>
              <w:spacing w:after="0"/>
              <w:rPr>
                <w:sz w:val="20"/>
                <w:szCs w:val="20"/>
                <w:color w:val="auto"/>
              </w:rPr>
            </w:pPr>
            <w:r>
              <w:rPr>
                <w:rFonts w:ascii="Arial" w:cs="Arial" w:eastAsia="Arial" w:hAnsi="Arial"/>
                <w:sz w:val="10"/>
                <w:szCs w:val="10"/>
                <w:color w:val="auto"/>
              </w:rPr>
              <w:t>198</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Proceeds from issuance of senior notes, net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w:t>
            </w:r>
          </w:p>
        </w:tc>
        <w:tc>
          <w:tcPr>
            <w:tcW w:w="880" w:type="dxa"/>
            <w:vAlign w:val="bottom"/>
          </w:tcPr>
          <w:p>
            <w:pPr>
              <w:spacing w:after="0"/>
              <w:rPr>
                <w:sz w:val="10"/>
                <w:szCs w:val="10"/>
                <w:color w:val="auto"/>
              </w:rPr>
            </w:pPr>
          </w:p>
        </w:tc>
        <w:tc>
          <w:tcPr>
            <w:tcW w:w="360" w:type="dxa"/>
            <w:vAlign w:val="bottom"/>
          </w:tcPr>
          <w:p>
            <w:pPr>
              <w:jc w:val="right"/>
              <w:ind w:right="32"/>
              <w:spacing w:after="0"/>
              <w:rPr>
                <w:sz w:val="20"/>
                <w:szCs w:val="20"/>
                <w:color w:val="auto"/>
              </w:rPr>
            </w:pPr>
            <w:r>
              <w:rPr>
                <w:rFonts w:ascii="Arial" w:cs="Arial" w:eastAsia="Arial" w:hAnsi="Arial"/>
                <w:sz w:val="10"/>
                <w:szCs w:val="10"/>
                <w:color w:val="auto"/>
              </w:rPr>
              <w:t>1,090</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Proceeds from issuance of term loan</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w:t>
            </w:r>
          </w:p>
        </w:tc>
        <w:tc>
          <w:tcPr>
            <w:tcW w:w="880" w:type="dxa"/>
            <w:vAlign w:val="bottom"/>
          </w:tcPr>
          <w:p>
            <w:pPr>
              <w:spacing w:after="0"/>
              <w:rPr>
                <w:sz w:val="10"/>
                <w:szCs w:val="10"/>
                <w:color w:val="auto"/>
              </w:rPr>
            </w:pPr>
          </w:p>
        </w:tc>
        <w:tc>
          <w:tcPr>
            <w:tcW w:w="360" w:type="dxa"/>
            <w:vAlign w:val="bottom"/>
          </w:tcPr>
          <w:p>
            <w:pPr>
              <w:jc w:val="right"/>
              <w:ind w:right="32"/>
              <w:spacing w:after="0"/>
              <w:rPr>
                <w:sz w:val="20"/>
                <w:szCs w:val="20"/>
                <w:color w:val="auto"/>
              </w:rPr>
            </w:pPr>
            <w:r>
              <w:rPr>
                <w:rFonts w:ascii="Arial" w:cs="Arial" w:eastAsia="Arial" w:hAnsi="Arial"/>
                <w:sz w:val="10"/>
                <w:szCs w:val="10"/>
                <w:color w:val="auto"/>
              </w:rPr>
              <w:t>1,000</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Change in book overdraft</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23</w:t>
            </w:r>
          </w:p>
        </w:tc>
        <w:tc>
          <w:tcPr>
            <w:tcW w:w="8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(55)</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Common stock repurchases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(30)</w:t>
            </w:r>
          </w:p>
        </w:tc>
        <w:tc>
          <w:tcPr>
            <w:tcW w:w="8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(17)</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Dividends paid</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(83)</w:t>
            </w:r>
          </w:p>
        </w:tc>
        <w:tc>
          <w:tcPr>
            <w:tcW w:w="8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0"/>
                <w:szCs w:val="10"/>
                <w:color w:val="auto"/>
              </w:rPr>
              <w:t>(73)</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ind w:left="220"/>
              <w:spacing w:after="0"/>
              <w:rPr>
                <w:sz w:val="20"/>
                <w:szCs w:val="20"/>
                <w:color w:val="auto"/>
              </w:rPr>
            </w:pPr>
            <w:r>
              <w:rPr>
                <w:rFonts w:ascii="Arial" w:cs="Arial" w:eastAsia="Arial" w:hAnsi="Arial"/>
                <w:sz w:val="10"/>
                <w:szCs w:val="10"/>
                <w:color w:val="auto"/>
              </w:rPr>
              <w:t>Proceeds from stock option exercises and other</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w:t>
            </w: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19</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Net cash provided by financing activities</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1,529</w:t>
            </w: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2,736</w:t>
            </w:r>
          </w:p>
        </w:tc>
        <w:tc>
          <w:tcPr>
            <w:tcW w:w="1260" w:type="dxa"/>
            <w:vAlign w:val="bottom"/>
            <w:gridSpan w:val="2"/>
          </w:tcPr>
          <w:p>
            <w:pPr>
              <w:jc w:val="right"/>
              <w:ind w:right="92"/>
              <w:spacing w:after="0"/>
              <w:rPr>
                <w:sz w:val="20"/>
                <w:szCs w:val="20"/>
                <w:color w:val="auto"/>
              </w:rPr>
            </w:pPr>
            <w:r>
              <w:rPr>
                <w:rFonts w:ascii="Arial" w:cs="Arial" w:eastAsia="Arial" w:hAnsi="Arial"/>
                <w:sz w:val="10"/>
                <w:szCs w:val="10"/>
                <w:color w:val="auto"/>
              </w:rPr>
              <w:t>($1,207)</w:t>
            </w:r>
          </w:p>
        </w:tc>
        <w:tc>
          <w:tcPr>
            <w:tcW w:w="880" w:type="dxa"/>
            <w:vAlign w:val="bottom"/>
          </w:tcPr>
          <w:p>
            <w:pPr>
              <w:jc w:val="right"/>
              <w:spacing w:after="0"/>
              <w:rPr>
                <w:sz w:val="20"/>
                <w:szCs w:val="20"/>
                <w:color w:val="auto"/>
              </w:rPr>
            </w:pPr>
            <w:r>
              <w:rPr>
                <w:rFonts w:ascii="Arial" w:cs="Arial" w:eastAsia="Arial" w:hAnsi="Arial"/>
                <w:sz w:val="10"/>
                <w:szCs w:val="10"/>
                <w:color w:val="auto"/>
              </w:rPr>
              <w:t>-44.1 %</w:t>
            </w: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(Decrease) increase in cash and cash equivalents</w:t>
            </w:r>
          </w:p>
        </w:tc>
        <w:tc>
          <w:tcPr>
            <w:tcW w:w="800" w:type="dxa"/>
            <w:vAlign w:val="bottom"/>
          </w:tcPr>
          <w:p>
            <w:pPr>
              <w:spacing w:after="0"/>
              <w:rPr>
                <w:sz w:val="10"/>
                <w:szCs w:val="10"/>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(796)</w:t>
            </w:r>
          </w:p>
        </w:tc>
        <w:tc>
          <w:tcPr>
            <w:tcW w:w="880" w:type="dxa"/>
            <w:vAlign w:val="bottom"/>
          </w:tcPr>
          <w:p>
            <w:pPr>
              <w:spacing w:after="0"/>
              <w:rPr>
                <w:sz w:val="10"/>
                <w:szCs w:val="10"/>
                <w:color w:val="auto"/>
              </w:rPr>
            </w:pPr>
          </w:p>
        </w:tc>
        <w:tc>
          <w:tcPr>
            <w:tcW w:w="360" w:type="dxa"/>
            <w:vAlign w:val="bottom"/>
          </w:tcPr>
          <w:p>
            <w:pPr>
              <w:jc w:val="right"/>
              <w:ind w:right="32"/>
              <w:spacing w:after="0"/>
              <w:rPr>
                <w:sz w:val="20"/>
                <w:szCs w:val="20"/>
                <w:color w:val="auto"/>
              </w:rPr>
            </w:pPr>
            <w:r>
              <w:rPr>
                <w:rFonts w:ascii="Arial" w:cs="Arial" w:eastAsia="Arial" w:hAnsi="Arial"/>
                <w:sz w:val="10"/>
                <w:szCs w:val="10"/>
                <w:color w:val="auto"/>
              </w:rPr>
              <w:t>2,000</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color w:val="auto"/>
              </w:rPr>
              <w:t>Cash and cash equivalents at beginning of period</w:t>
            </w:r>
          </w:p>
        </w:tc>
        <w:tc>
          <w:tcPr>
            <w:tcW w:w="80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4,673</w:t>
            </w:r>
          </w:p>
        </w:tc>
        <w:tc>
          <w:tcPr>
            <w:tcW w:w="8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4,054</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40" w:type="dxa"/>
            <w:vAlign w:val="bottom"/>
            <w:tcBorders>
              <w:right w:val="single" w:sz="8" w:color="auto"/>
            </w:tcBorders>
          </w:tcPr>
          <w:p>
            <w:pPr>
              <w:spacing w:after="0"/>
              <w:rPr>
                <w:sz w:val="20"/>
                <w:szCs w:val="20"/>
                <w:color w:val="auto"/>
              </w:rPr>
            </w:pPr>
            <w:r>
              <w:rPr>
                <w:rFonts w:ascii="Arial" w:cs="Arial" w:eastAsia="Arial" w:hAnsi="Arial"/>
                <w:sz w:val="10"/>
                <w:szCs w:val="10"/>
                <w:b w:val="1"/>
                <w:bCs w:val="1"/>
                <w:color w:val="auto"/>
              </w:rPr>
              <w:t>Cash and cash equivalents at end of period</w:t>
            </w:r>
          </w:p>
        </w:tc>
        <w:tc>
          <w:tcPr>
            <w:tcW w:w="80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b w:val="1"/>
                <w:bCs w:val="1"/>
                <w:color w:val="00497F"/>
                <w:w w:val="71"/>
              </w:rPr>
              <w:t>$</w:t>
            </w:r>
          </w:p>
        </w:tc>
        <w:tc>
          <w:tcPr>
            <w:tcW w:w="440" w:type="dxa"/>
            <w:vAlign w:val="bottom"/>
            <w:tcBorders>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3,877</w:t>
            </w:r>
          </w:p>
        </w:tc>
        <w:tc>
          <w:tcPr>
            <w:tcW w:w="880" w:type="dxa"/>
            <w:vAlign w:val="bottom"/>
            <w:tcBorders>
              <w:bottom w:val="single" w:sz="8" w:color="auto"/>
            </w:tcBorders>
          </w:tcPr>
          <w:p>
            <w:pPr>
              <w:jc w:val="right"/>
              <w:ind w:right="77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color w:val="auto"/>
              </w:rPr>
              <w:t>6,054</w:t>
            </w: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S-5</w:t>
      </w:r>
    </w:p>
    <w:p>
      <w:pPr>
        <w:sectPr>
          <w:pgSz w:w="11900" w:h="16838" w:orient="portrait"/>
          <w:cols w:equalWidth="0" w:num="1">
            <w:col w:w="10159"/>
          </w:cols>
          <w:pgMar w:left="300" w:top="299" w:right="1440"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Consolidating Statements of Income—For the three months ended March 31, 2021</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Retail</w:t>
            </w:r>
          </w:p>
        </w:tc>
        <w:tc>
          <w:tcPr>
            <w:tcW w:w="18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Group and</w:t>
            </w:r>
          </w:p>
        </w:tc>
        <w:tc>
          <w:tcPr>
            <w:tcW w:w="18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Healthcare</w:t>
            </w:r>
          </w:p>
        </w:tc>
        <w:tc>
          <w:tcPr>
            <w:tcW w:w="120" w:type="dxa"/>
            <w:vAlign w:val="bottom"/>
          </w:tcPr>
          <w:p>
            <w:pPr>
              <w:spacing w:after="0"/>
              <w:rPr>
                <w:sz w:val="10"/>
                <w:szCs w:val="1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Eliminations/</w:t>
            </w:r>
          </w:p>
        </w:tc>
        <w:tc>
          <w:tcPr>
            <w:tcW w:w="140" w:type="dxa"/>
            <w:vAlign w:val="bottom"/>
          </w:tcPr>
          <w:p>
            <w:pPr>
              <w:spacing w:after="0"/>
              <w:rPr>
                <w:sz w:val="10"/>
                <w:szCs w:val="10"/>
                <w:color w:val="auto"/>
              </w:rPr>
            </w:pPr>
          </w:p>
        </w:tc>
        <w:tc>
          <w:tcPr>
            <w:tcW w:w="960" w:type="dxa"/>
            <w:vAlign w:val="bottom"/>
            <w:vMerge w:val="restart"/>
          </w:tcPr>
          <w:p>
            <w:pPr>
              <w:jc w:val="right"/>
              <w:ind w:right="152"/>
              <w:spacing w:after="0"/>
              <w:rPr>
                <w:sz w:val="20"/>
                <w:szCs w:val="20"/>
                <w:color w:val="auto"/>
              </w:rPr>
            </w:pPr>
            <w:r>
              <w:rPr>
                <w:rFonts w:ascii="Arial" w:cs="Arial" w:eastAsia="Arial" w:hAnsi="Arial"/>
                <w:sz w:val="11"/>
                <w:szCs w:val="11"/>
                <w:b w:val="1"/>
                <w:bCs w:val="1"/>
                <w:color w:val="auto"/>
              </w:rPr>
              <w:t>Consolidated</w:t>
            </w: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Specialty</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Services</w:t>
            </w:r>
          </w:p>
        </w:tc>
        <w:tc>
          <w:tcPr>
            <w:tcW w:w="12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Corporate</w:t>
            </w: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400" w:type="dxa"/>
            <w:vAlign w:val="bottom"/>
          </w:tcPr>
          <w:p>
            <w:pPr>
              <w:spacing w:after="0" w:line="110" w:lineRule="exact"/>
              <w:rPr>
                <w:sz w:val="20"/>
                <w:szCs w:val="20"/>
                <w:color w:val="auto"/>
              </w:rPr>
            </w:pPr>
            <w:r>
              <w:rPr>
                <w:rFonts w:ascii="Arial" w:cs="Arial" w:eastAsia="Arial" w:hAnsi="Arial"/>
                <w:sz w:val="10"/>
                <w:szCs w:val="10"/>
                <w:b w:val="1"/>
                <w:bCs w:val="1"/>
                <w:color w:val="auto"/>
              </w:rPr>
              <w:t>Revenues—external customers Premiums:</w:t>
            </w:r>
          </w:p>
        </w:tc>
        <w:tc>
          <w:tcPr>
            <w:tcW w:w="2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Individual Medicare Advantage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14,815</w:t>
            </w:r>
          </w:p>
        </w:tc>
        <w:tc>
          <w:tcPr>
            <w:tcW w:w="60" w:type="dxa"/>
            <w:vAlign w:val="bottom"/>
          </w:tcPr>
          <w:p>
            <w:pPr>
              <w:spacing w:after="0"/>
              <w:rPr>
                <w:sz w:val="10"/>
                <w:szCs w:val="10"/>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14,815</w:t>
            </w: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Group Medicare Advantage</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1,755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1,755</w:t>
            </w:r>
          </w:p>
        </w:tc>
        <w:tc>
          <w:tcPr>
            <w:tcW w:w="0" w:type="dxa"/>
            <w:vAlign w:val="bottom"/>
          </w:tcPr>
          <w:p>
            <w:pPr>
              <w:spacing w:after="0"/>
              <w:rPr>
                <w:sz w:val="1"/>
                <w:szCs w:val="1"/>
                <w:color w:val="auto"/>
              </w:rPr>
            </w:pPr>
          </w:p>
        </w:tc>
      </w:tr>
      <w:tr>
        <w:trPr>
          <w:trHeight w:val="125"/>
        </w:trPr>
        <w:tc>
          <w:tcPr>
            <w:tcW w:w="3400" w:type="dxa"/>
            <w:vAlign w:val="bottom"/>
          </w:tcPr>
          <w:p>
            <w:pPr>
              <w:ind w:left="140"/>
              <w:spacing w:after="0"/>
              <w:rPr>
                <w:sz w:val="20"/>
                <w:szCs w:val="20"/>
                <w:color w:val="auto"/>
              </w:rPr>
            </w:pPr>
            <w:r>
              <w:rPr>
                <w:rFonts w:ascii="Arial" w:cs="Arial" w:eastAsia="Arial" w:hAnsi="Arial"/>
                <w:sz w:val="10"/>
                <w:szCs w:val="10"/>
                <w:color w:val="auto"/>
              </w:rPr>
              <w:t>Medicare stand-alone PDP</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664</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664</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07" w:lineRule="exact"/>
              <w:rPr>
                <w:sz w:val="20"/>
                <w:szCs w:val="20"/>
                <w:color w:val="auto"/>
              </w:rPr>
            </w:pPr>
            <w:r>
              <w:rPr>
                <w:rFonts w:ascii="Arial" w:cs="Arial" w:eastAsia="Arial" w:hAnsi="Arial"/>
                <w:sz w:val="10"/>
                <w:szCs w:val="10"/>
                <w:b w:val="1"/>
                <w:bCs w:val="1"/>
                <w:color w:val="auto"/>
              </w:rPr>
              <w:t>Total Medicare</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17,234</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17,234</w:t>
            </w:r>
          </w:p>
        </w:tc>
        <w:tc>
          <w:tcPr>
            <w:tcW w:w="0" w:type="dxa"/>
            <w:vAlign w:val="bottom"/>
          </w:tcPr>
          <w:p>
            <w:pPr>
              <w:spacing w:after="0"/>
              <w:rPr>
                <w:sz w:val="1"/>
                <w:szCs w:val="1"/>
                <w:color w:val="auto"/>
              </w:rPr>
            </w:pPr>
          </w:p>
        </w:tc>
      </w:tr>
      <w:tr>
        <w:trPr>
          <w:trHeight w:val="116"/>
        </w:trPr>
        <w:tc>
          <w:tcPr>
            <w:tcW w:w="3400" w:type="dxa"/>
            <w:vAlign w:val="bottom"/>
          </w:tcPr>
          <w:p>
            <w:pPr>
              <w:ind w:left="140"/>
              <w:spacing w:after="0" w:line="107" w:lineRule="exact"/>
              <w:rPr>
                <w:sz w:val="20"/>
                <w:szCs w:val="20"/>
                <w:color w:val="auto"/>
              </w:rPr>
            </w:pPr>
            <w:r>
              <w:rPr>
                <w:rFonts w:ascii="Arial" w:cs="Arial" w:eastAsia="Arial" w:hAnsi="Arial"/>
                <w:sz w:val="10"/>
                <w:szCs w:val="10"/>
                <w:color w:val="auto"/>
              </w:rPr>
              <w:t>Fully-insured</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178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1,099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1,277</w:t>
            </w: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Specialty</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434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434</w:t>
            </w:r>
          </w:p>
        </w:tc>
        <w:tc>
          <w:tcPr>
            <w:tcW w:w="0" w:type="dxa"/>
            <w:vAlign w:val="bottom"/>
          </w:tcPr>
          <w:p>
            <w:pPr>
              <w:spacing w:after="0"/>
              <w:rPr>
                <w:sz w:val="1"/>
                <w:szCs w:val="1"/>
                <w:color w:val="auto"/>
              </w:rPr>
            </w:pPr>
          </w:p>
        </w:tc>
      </w:tr>
      <w:tr>
        <w:trPr>
          <w:trHeight w:val="125"/>
        </w:trPr>
        <w:tc>
          <w:tcPr>
            <w:tcW w:w="3400" w:type="dxa"/>
            <w:vAlign w:val="bottom"/>
          </w:tcPr>
          <w:p>
            <w:pPr>
              <w:ind w:left="140"/>
              <w:spacing w:after="0"/>
              <w:rPr>
                <w:sz w:val="20"/>
                <w:szCs w:val="20"/>
                <w:color w:val="auto"/>
              </w:rPr>
            </w:pPr>
            <w:r>
              <w:rPr>
                <w:rFonts w:ascii="Arial" w:cs="Arial" w:eastAsia="Arial" w:hAnsi="Arial"/>
                <w:sz w:val="10"/>
                <w:szCs w:val="10"/>
                <w:color w:val="auto"/>
              </w:rPr>
              <w:t>Medicaid and other (C)</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1,179</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1,179</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07" w:lineRule="exact"/>
              <w:rPr>
                <w:sz w:val="20"/>
                <w:szCs w:val="20"/>
                <w:color w:val="auto"/>
              </w:rPr>
            </w:pPr>
            <w:r>
              <w:rPr>
                <w:rFonts w:ascii="Arial" w:cs="Arial" w:eastAsia="Arial" w:hAnsi="Arial"/>
                <w:sz w:val="10"/>
                <w:szCs w:val="10"/>
                <w:b w:val="1"/>
                <w:bCs w:val="1"/>
                <w:color w:val="auto"/>
              </w:rPr>
              <w:t>Total premiums</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18,591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1,533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20,124</w:t>
            </w:r>
          </w:p>
        </w:tc>
        <w:tc>
          <w:tcPr>
            <w:tcW w:w="0" w:type="dxa"/>
            <w:vAlign w:val="bottom"/>
          </w:tcPr>
          <w:p>
            <w:pPr>
              <w:spacing w:after="0"/>
              <w:rPr>
                <w:sz w:val="1"/>
                <w:szCs w:val="1"/>
                <w:color w:val="auto"/>
              </w:rPr>
            </w:pPr>
          </w:p>
        </w:tc>
      </w:tr>
      <w:tr>
        <w:trPr>
          <w:trHeight w:val="107"/>
        </w:trPr>
        <w:tc>
          <w:tcPr>
            <w:tcW w:w="3400" w:type="dxa"/>
            <w:vAlign w:val="bottom"/>
          </w:tcPr>
          <w:p>
            <w:pPr>
              <w:ind w:left="80"/>
              <w:spacing w:after="0" w:line="107" w:lineRule="exact"/>
              <w:rPr>
                <w:sz w:val="20"/>
                <w:szCs w:val="20"/>
                <w:color w:val="auto"/>
              </w:rPr>
            </w:pPr>
            <w:r>
              <w:rPr>
                <w:rFonts w:ascii="Arial" w:cs="Arial" w:eastAsia="Arial" w:hAnsi="Arial"/>
                <w:sz w:val="10"/>
                <w:szCs w:val="10"/>
                <w:b w:val="1"/>
                <w:bCs w:val="1"/>
                <w:color w:val="auto"/>
              </w:rPr>
              <w:t>Services revenue:</w:t>
            </w:r>
          </w:p>
        </w:tc>
        <w:tc>
          <w:tcPr>
            <w:tcW w:w="2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Provider</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115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115</w:t>
            </w: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ASO and other (D)</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190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195</w:t>
            </w:r>
          </w:p>
        </w:tc>
        <w:tc>
          <w:tcPr>
            <w:tcW w:w="0" w:type="dxa"/>
            <w:vAlign w:val="bottom"/>
          </w:tcPr>
          <w:p>
            <w:pPr>
              <w:spacing w:after="0"/>
              <w:rPr>
                <w:sz w:val="1"/>
                <w:szCs w:val="1"/>
                <w:color w:val="auto"/>
              </w:rPr>
            </w:pPr>
          </w:p>
        </w:tc>
      </w:tr>
      <w:tr>
        <w:trPr>
          <w:trHeight w:val="125"/>
        </w:trPr>
        <w:tc>
          <w:tcPr>
            <w:tcW w:w="3400" w:type="dxa"/>
            <w:vAlign w:val="bottom"/>
          </w:tcPr>
          <w:p>
            <w:pPr>
              <w:ind w:left="140"/>
              <w:spacing w:after="0"/>
              <w:rPr>
                <w:sz w:val="20"/>
                <w:szCs w:val="20"/>
                <w:color w:val="auto"/>
              </w:rPr>
            </w:pPr>
            <w:r>
              <w:rPr>
                <w:rFonts w:ascii="Arial" w:cs="Arial" w:eastAsia="Arial" w:hAnsi="Arial"/>
                <w:sz w:val="10"/>
                <w:szCs w:val="10"/>
                <w:color w:val="auto"/>
              </w:rPr>
              <w:t>Pharmacy</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156</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156</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07" w:lineRule="exact"/>
              <w:rPr>
                <w:sz w:val="20"/>
                <w:szCs w:val="20"/>
                <w:color w:val="auto"/>
              </w:rPr>
            </w:pPr>
            <w:r>
              <w:rPr>
                <w:rFonts w:ascii="Arial" w:cs="Arial" w:eastAsia="Arial" w:hAnsi="Arial"/>
                <w:sz w:val="10"/>
                <w:szCs w:val="10"/>
                <w:b w:val="1"/>
                <w:bCs w:val="1"/>
                <w:color w:val="auto"/>
              </w:rPr>
              <w:t>Total services revenue</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5</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190</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271</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466</w:t>
            </w:r>
          </w:p>
        </w:tc>
        <w:tc>
          <w:tcPr>
            <w:tcW w:w="0" w:type="dxa"/>
            <w:vAlign w:val="bottom"/>
          </w:tcPr>
          <w:p>
            <w:pPr>
              <w:spacing w:after="0"/>
              <w:rPr>
                <w:sz w:val="1"/>
                <w:szCs w:val="1"/>
                <w:color w:val="auto"/>
              </w:rPr>
            </w:pPr>
          </w:p>
        </w:tc>
      </w:tr>
      <w:tr>
        <w:trPr>
          <w:trHeight w:val="115"/>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Total revenues—external customers</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18,596</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1,723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271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20,590</w:t>
            </w:r>
          </w:p>
        </w:tc>
        <w:tc>
          <w:tcPr>
            <w:tcW w:w="0" w:type="dxa"/>
            <w:vAlign w:val="bottom"/>
          </w:tcPr>
          <w:p>
            <w:pPr>
              <w:spacing w:after="0"/>
              <w:rPr>
                <w:sz w:val="1"/>
                <w:szCs w:val="1"/>
                <w:color w:val="auto"/>
              </w:rPr>
            </w:pPr>
          </w:p>
        </w:tc>
      </w:tr>
      <w:tr>
        <w:trPr>
          <w:trHeight w:val="107"/>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Intersegment revenues</w:t>
            </w:r>
          </w:p>
        </w:tc>
        <w:tc>
          <w:tcPr>
            <w:tcW w:w="2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140"/>
              <w:spacing w:after="0"/>
              <w:rPr>
                <w:sz w:val="20"/>
                <w:szCs w:val="20"/>
                <w:color w:val="auto"/>
              </w:rPr>
            </w:pPr>
            <w:r>
              <w:rPr>
                <w:rFonts w:ascii="Arial" w:cs="Arial" w:eastAsia="Arial" w:hAnsi="Arial"/>
                <w:sz w:val="10"/>
                <w:szCs w:val="10"/>
                <w:color w:val="auto"/>
              </w:rPr>
              <w:t>Services</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4,774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(4,784)</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5"/>
        </w:trPr>
        <w:tc>
          <w:tcPr>
            <w:tcW w:w="3400" w:type="dxa"/>
            <w:vAlign w:val="bottom"/>
          </w:tcPr>
          <w:p>
            <w:pPr>
              <w:ind w:left="140"/>
              <w:spacing w:after="0"/>
              <w:rPr>
                <w:sz w:val="20"/>
                <w:szCs w:val="20"/>
                <w:color w:val="auto"/>
              </w:rPr>
            </w:pPr>
            <w:r>
              <w:rPr>
                <w:rFonts w:ascii="Arial" w:cs="Arial" w:eastAsia="Arial" w:hAnsi="Arial"/>
                <w:sz w:val="10"/>
                <w:szCs w:val="10"/>
                <w:color w:val="auto"/>
              </w:rPr>
              <w:t>Products</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2,152</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(2,152)</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Total intersegment revenues</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10</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6,926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(6,936)</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400" w:type="dxa"/>
            <w:vAlign w:val="bottom"/>
          </w:tcPr>
          <w:p>
            <w:pPr>
              <w:spacing w:after="0" w:line="107" w:lineRule="exact"/>
              <w:rPr>
                <w:sz w:val="20"/>
                <w:szCs w:val="20"/>
                <w:color w:val="auto"/>
              </w:rPr>
            </w:pPr>
            <w:r>
              <w:rPr>
                <w:rFonts w:ascii="Arial" w:cs="Arial" w:eastAsia="Arial" w:hAnsi="Arial"/>
                <w:sz w:val="10"/>
                <w:szCs w:val="10"/>
                <w:color w:val="auto"/>
              </w:rPr>
              <w:t>Investment income</w:t>
            </w:r>
          </w:p>
        </w:tc>
        <w:tc>
          <w:tcPr>
            <w:tcW w:w="22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52</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4</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78</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07" w:lineRule="exact"/>
              <w:rPr>
                <w:sz w:val="20"/>
                <w:szCs w:val="20"/>
                <w:color w:val="auto"/>
              </w:rPr>
            </w:pPr>
            <w:r>
              <w:rPr>
                <w:rFonts w:ascii="Arial" w:cs="Arial" w:eastAsia="Arial" w:hAnsi="Arial"/>
                <w:sz w:val="10"/>
                <w:szCs w:val="10"/>
                <w:b w:val="1"/>
                <w:bCs w:val="1"/>
                <w:color w:val="auto"/>
              </w:rPr>
              <w:t>Total revenues</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18,648</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1,737</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7,198</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(6,915)</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20,668</w:t>
            </w:r>
          </w:p>
        </w:tc>
        <w:tc>
          <w:tcPr>
            <w:tcW w:w="0" w:type="dxa"/>
            <w:vAlign w:val="bottom"/>
          </w:tcPr>
          <w:p>
            <w:pPr>
              <w:spacing w:after="0"/>
              <w:rPr>
                <w:sz w:val="1"/>
                <w:szCs w:val="1"/>
                <w:color w:val="auto"/>
              </w:rPr>
            </w:pPr>
          </w:p>
        </w:tc>
      </w:tr>
      <w:tr>
        <w:trPr>
          <w:trHeight w:val="107"/>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Operating expenses:</w:t>
            </w: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Benefits</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16,299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1,145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(148)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17,296</w:t>
            </w: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Operating costs</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1,451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397</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6,910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(6,751)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2,007</w:t>
            </w:r>
          </w:p>
        </w:tc>
        <w:tc>
          <w:tcPr>
            <w:tcW w:w="0" w:type="dxa"/>
            <w:vAlign w:val="bottom"/>
          </w:tcPr>
          <w:p>
            <w:pPr>
              <w:spacing w:after="0"/>
              <w:rPr>
                <w:sz w:val="1"/>
                <w:szCs w:val="1"/>
                <w:color w:val="auto"/>
              </w:rPr>
            </w:pPr>
          </w:p>
        </w:tc>
      </w:tr>
      <w:tr>
        <w:trPr>
          <w:trHeight w:val="125"/>
        </w:trPr>
        <w:tc>
          <w:tcPr>
            <w:tcW w:w="3400" w:type="dxa"/>
            <w:vAlign w:val="bottom"/>
          </w:tcPr>
          <w:p>
            <w:pPr>
              <w:ind w:left="80"/>
              <w:spacing w:after="0"/>
              <w:rPr>
                <w:sz w:val="20"/>
                <w:szCs w:val="20"/>
                <w:color w:val="auto"/>
              </w:rPr>
            </w:pPr>
            <w:r>
              <w:rPr>
                <w:rFonts w:ascii="Arial" w:cs="Arial" w:eastAsia="Arial" w:hAnsi="Arial"/>
                <w:sz w:val="10"/>
                <w:szCs w:val="10"/>
                <w:color w:val="auto"/>
              </w:rPr>
              <w:t>Depreciation and amortization</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104</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21</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40</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142</w:t>
            </w:r>
          </w:p>
        </w:tc>
        <w:tc>
          <w:tcPr>
            <w:tcW w:w="0" w:type="dxa"/>
            <w:vAlign w:val="bottom"/>
          </w:tcPr>
          <w:p>
            <w:pPr>
              <w:spacing w:after="0"/>
              <w:rPr>
                <w:sz w:val="1"/>
                <w:szCs w:val="1"/>
                <w:color w:val="auto"/>
              </w:rPr>
            </w:pPr>
          </w:p>
        </w:tc>
      </w:tr>
      <w:tr>
        <w:trPr>
          <w:trHeight w:val="115"/>
        </w:trPr>
        <w:tc>
          <w:tcPr>
            <w:tcW w:w="3400" w:type="dxa"/>
            <w:vAlign w:val="bottom"/>
          </w:tcPr>
          <w:p>
            <w:pPr>
              <w:ind w:left="140"/>
              <w:spacing w:after="0" w:line="107" w:lineRule="exact"/>
              <w:rPr>
                <w:sz w:val="20"/>
                <w:szCs w:val="20"/>
                <w:color w:val="auto"/>
              </w:rPr>
            </w:pPr>
            <w:r>
              <w:rPr>
                <w:rFonts w:ascii="Arial" w:cs="Arial" w:eastAsia="Arial" w:hAnsi="Arial"/>
                <w:sz w:val="10"/>
                <w:szCs w:val="10"/>
                <w:b w:val="1"/>
                <w:bCs w:val="1"/>
                <w:color w:val="auto"/>
              </w:rPr>
              <w:t>Total operating expenses</w:t>
            </w:r>
          </w:p>
        </w:tc>
        <w:tc>
          <w:tcPr>
            <w:tcW w:w="2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17,854</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1,563</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6,950</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(6,922)</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19,445</w:t>
            </w:r>
          </w:p>
        </w:tc>
        <w:tc>
          <w:tcPr>
            <w:tcW w:w="0" w:type="dxa"/>
            <w:vAlign w:val="bottom"/>
          </w:tcPr>
          <w:p>
            <w:pPr>
              <w:spacing w:after="0"/>
              <w:rPr>
                <w:sz w:val="1"/>
                <w:szCs w:val="1"/>
                <w:color w:val="auto"/>
              </w:rPr>
            </w:pPr>
          </w:p>
        </w:tc>
      </w:tr>
      <w:tr>
        <w:trPr>
          <w:trHeight w:val="116"/>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Income from operations</w:t>
            </w:r>
          </w:p>
        </w:tc>
        <w:tc>
          <w:tcPr>
            <w:tcW w:w="220" w:type="dxa"/>
            <w:vAlign w:val="bottom"/>
          </w:tcPr>
          <w:p>
            <w:pPr>
              <w:spacing w:after="0"/>
              <w:rPr>
                <w:sz w:val="10"/>
                <w:szCs w:val="10"/>
                <w:color w:val="auto"/>
              </w:rPr>
            </w:pPr>
          </w:p>
        </w:tc>
        <w:tc>
          <w:tcPr>
            <w:tcW w:w="860" w:type="dxa"/>
            <w:vAlign w:val="bottom"/>
          </w:tcPr>
          <w:p>
            <w:pPr>
              <w:jc w:val="right"/>
              <w:ind w:right="92"/>
              <w:spacing w:after="0"/>
              <w:rPr>
                <w:sz w:val="20"/>
                <w:szCs w:val="20"/>
                <w:color w:val="auto"/>
              </w:rPr>
            </w:pPr>
            <w:r>
              <w:rPr>
                <w:rFonts w:ascii="Arial" w:cs="Arial" w:eastAsia="Arial" w:hAnsi="Arial"/>
                <w:sz w:val="10"/>
                <w:szCs w:val="10"/>
                <w:color w:val="auto"/>
              </w:rPr>
              <w:t>794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174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248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1,223</w:t>
            </w:r>
          </w:p>
        </w:tc>
        <w:tc>
          <w:tcPr>
            <w:tcW w:w="0" w:type="dxa"/>
            <w:vAlign w:val="bottom"/>
          </w:tcPr>
          <w:p>
            <w:pPr>
              <w:spacing w:after="0"/>
              <w:rPr>
                <w:sz w:val="1"/>
                <w:szCs w:val="1"/>
                <w:color w:val="auto"/>
              </w:rPr>
            </w:pPr>
          </w:p>
        </w:tc>
      </w:tr>
      <w:tr>
        <w:trPr>
          <w:trHeight w:val="126"/>
        </w:trPr>
        <w:tc>
          <w:tcPr>
            <w:tcW w:w="3400" w:type="dxa"/>
            <w:vAlign w:val="bottom"/>
          </w:tcPr>
          <w:p>
            <w:pPr>
              <w:spacing w:after="0"/>
              <w:rPr>
                <w:sz w:val="20"/>
                <w:szCs w:val="20"/>
                <w:color w:val="auto"/>
              </w:rPr>
            </w:pPr>
            <w:r>
              <w:rPr>
                <w:rFonts w:ascii="Arial" w:cs="Arial" w:eastAsia="Arial" w:hAnsi="Arial"/>
                <w:sz w:val="10"/>
                <w:szCs w:val="10"/>
                <w:color w:val="auto"/>
              </w:rPr>
              <w:t>Interest expense</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68</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68</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20"/>
                <w:szCs w:val="20"/>
                <w:color w:val="auto"/>
              </w:rPr>
            </w:pPr>
            <w:r>
              <w:rPr>
                <w:rFonts w:ascii="Arial" w:cs="Arial" w:eastAsia="Arial" w:hAnsi="Arial"/>
                <w:sz w:val="10"/>
                <w:szCs w:val="10"/>
                <w:color w:val="auto"/>
              </w:rPr>
              <w:t>Other expense, net (A)</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115</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115</w:t>
            </w:r>
          </w:p>
        </w:tc>
        <w:tc>
          <w:tcPr>
            <w:tcW w:w="0" w:type="dxa"/>
            <w:vAlign w:val="bottom"/>
          </w:tcPr>
          <w:p>
            <w:pPr>
              <w:spacing w:after="0"/>
              <w:rPr>
                <w:sz w:val="1"/>
                <w:szCs w:val="1"/>
                <w:color w:val="auto"/>
              </w:rPr>
            </w:pPr>
          </w:p>
        </w:tc>
      </w:tr>
      <w:tr>
        <w:trPr>
          <w:trHeight w:val="115"/>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Income (loss) before income taxes and equity in net earnings</w:t>
            </w:r>
          </w:p>
        </w:tc>
        <w:tc>
          <w:tcPr>
            <w:tcW w:w="22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794</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174</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248</w:t>
            </w: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(176)</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1,040</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07" w:lineRule="exact"/>
              <w:rPr>
                <w:sz w:val="20"/>
                <w:szCs w:val="20"/>
                <w:color w:val="auto"/>
              </w:rPr>
            </w:pPr>
            <w:r>
              <w:rPr>
                <w:rFonts w:ascii="Arial" w:cs="Arial" w:eastAsia="Arial" w:hAnsi="Arial"/>
                <w:sz w:val="10"/>
                <w:szCs w:val="10"/>
                <w:color w:val="auto"/>
              </w:rPr>
              <w:t>Equity in net earnings (B)</w:t>
            </w:r>
          </w:p>
        </w:tc>
        <w:tc>
          <w:tcPr>
            <w:tcW w:w="220" w:type="dxa"/>
            <w:vAlign w:val="bottom"/>
          </w:tcPr>
          <w:p>
            <w:pPr>
              <w:spacing w:after="0"/>
              <w:rPr>
                <w:sz w:val="10"/>
                <w:szCs w:val="1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15"/>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Segment earnings (loss)</w:t>
            </w:r>
          </w:p>
        </w:tc>
        <w:tc>
          <w:tcPr>
            <w:tcW w:w="2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794</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174</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269</w:t>
            </w:r>
          </w:p>
        </w:tc>
        <w:tc>
          <w:tcPr>
            <w:tcW w:w="6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(176)</w:t>
            </w:r>
          </w:p>
        </w:tc>
        <w:tc>
          <w:tcPr>
            <w:tcW w:w="8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1,061</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Benefit ratio</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right"/>
              <w:spacing w:after="0" w:line="103" w:lineRule="exact"/>
              <w:rPr>
                <w:sz w:val="20"/>
                <w:szCs w:val="20"/>
                <w:color w:val="auto"/>
              </w:rPr>
            </w:pPr>
            <w:r>
              <w:rPr>
                <w:rFonts w:ascii="Arial" w:cs="Arial" w:eastAsia="Arial" w:hAnsi="Arial"/>
                <w:sz w:val="10"/>
                <w:szCs w:val="10"/>
                <w:color w:val="auto"/>
              </w:rPr>
              <w:t>87.7 %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jc w:val="right"/>
              <w:spacing w:after="0" w:line="103" w:lineRule="exact"/>
              <w:rPr>
                <w:sz w:val="20"/>
                <w:szCs w:val="20"/>
                <w:color w:val="auto"/>
              </w:rPr>
            </w:pPr>
            <w:r>
              <w:rPr>
                <w:rFonts w:ascii="Arial" w:cs="Arial" w:eastAsia="Arial" w:hAnsi="Arial"/>
                <w:sz w:val="10"/>
                <w:szCs w:val="10"/>
                <w:color w:val="auto"/>
              </w:rPr>
              <w:t>74.7 %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jc w:val="right"/>
              <w:spacing w:after="0" w:line="103" w:lineRule="exact"/>
              <w:rPr>
                <w:sz w:val="20"/>
                <w:szCs w:val="20"/>
                <w:color w:val="auto"/>
              </w:rPr>
            </w:pPr>
            <w:r>
              <w:rPr>
                <w:rFonts w:ascii="Arial" w:cs="Arial" w:eastAsia="Arial" w:hAnsi="Arial"/>
                <w:sz w:val="10"/>
                <w:szCs w:val="10"/>
                <w:color w:val="auto"/>
              </w:rPr>
              <w:t>85.9 %</w:t>
            </w:r>
          </w:p>
        </w:tc>
        <w:tc>
          <w:tcPr>
            <w:tcW w:w="0" w:type="dxa"/>
            <w:vAlign w:val="bottom"/>
          </w:tcPr>
          <w:p>
            <w:pPr>
              <w:spacing w:after="0"/>
              <w:rPr>
                <w:sz w:val="1"/>
                <w:szCs w:val="1"/>
                <w:color w:val="auto"/>
              </w:rPr>
            </w:pPr>
          </w:p>
        </w:tc>
      </w:tr>
      <w:tr>
        <w:trPr>
          <w:trHeight w:val="127"/>
        </w:trPr>
        <w:tc>
          <w:tcPr>
            <w:tcW w:w="3400" w:type="dxa"/>
            <w:vAlign w:val="bottom"/>
          </w:tcPr>
          <w:p>
            <w:pPr>
              <w:spacing w:after="0"/>
              <w:rPr>
                <w:sz w:val="20"/>
                <w:szCs w:val="20"/>
                <w:color w:val="auto"/>
              </w:rPr>
            </w:pPr>
            <w:r>
              <w:rPr>
                <w:rFonts w:ascii="Arial" w:cs="Arial" w:eastAsia="Arial" w:hAnsi="Arial"/>
                <w:sz w:val="10"/>
                <w:szCs w:val="10"/>
                <w:b w:val="1"/>
                <w:bCs w:val="1"/>
                <w:color w:val="auto"/>
              </w:rPr>
              <w:t>Operating cost ratio</w:t>
            </w:r>
          </w:p>
        </w:tc>
        <w:tc>
          <w:tcPr>
            <w:tcW w:w="22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7.8 %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22.9 %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96.0 %</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9.7 %</w:t>
            </w: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S-6</w:t>
      </w:r>
    </w:p>
    <w:p>
      <w:pPr>
        <w:sectPr>
          <w:pgSz w:w="11900" w:h="16838" w:orient="portrait"/>
          <w:cols w:equalWidth="0" w:num="1">
            <w:col w:w="10159"/>
          </w:cols>
          <w:pgMar w:left="300" w:top="789" w:right="1440"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Consolidating Statements of Income—For the three months ended March 31, 2020</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Group and</w:t>
            </w:r>
          </w:p>
        </w:tc>
        <w:tc>
          <w:tcPr>
            <w:tcW w:w="180" w:type="dxa"/>
            <w:vAlign w:val="bottom"/>
          </w:tcPr>
          <w:p>
            <w:pPr>
              <w:spacing w:after="0"/>
              <w:rPr>
                <w:sz w:val="10"/>
                <w:szCs w:val="1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Healthcare</w:t>
            </w:r>
          </w:p>
        </w:tc>
        <w:tc>
          <w:tcPr>
            <w:tcW w:w="120" w:type="dxa"/>
            <w:vAlign w:val="bottom"/>
          </w:tcPr>
          <w:p>
            <w:pPr>
              <w:spacing w:after="0"/>
              <w:rPr>
                <w:sz w:val="10"/>
                <w:szCs w:val="1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Eliminations/</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Revenues—external customers Premiums:</w:t>
            </w:r>
          </w:p>
        </w:tc>
        <w:tc>
          <w:tcPr>
            <w:tcW w:w="24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Arial" w:cs="Arial" w:eastAsia="Arial" w:hAnsi="Arial"/>
                <w:sz w:val="10"/>
                <w:szCs w:val="10"/>
                <w:b w:val="1"/>
                <w:bCs w:val="1"/>
                <w:color w:val="auto"/>
              </w:rPr>
              <w:t>Retail</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Specialty</w:t>
            </w:r>
          </w:p>
        </w:tc>
        <w:tc>
          <w:tcPr>
            <w:tcW w:w="18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Services</w:t>
            </w:r>
          </w:p>
        </w:tc>
        <w:tc>
          <w:tcPr>
            <w:tcW w:w="120" w:type="dxa"/>
            <w:vAlign w:val="bottom"/>
          </w:tcPr>
          <w:p>
            <w:pPr>
              <w:spacing w:after="0"/>
              <w:rPr>
                <w:sz w:val="12"/>
                <w:szCs w:val="12"/>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Corporate</w:t>
            </w:r>
          </w:p>
        </w:tc>
        <w:tc>
          <w:tcPr>
            <w:tcW w:w="140" w:type="dxa"/>
            <w:vAlign w:val="bottom"/>
          </w:tcPr>
          <w:p>
            <w:pPr>
              <w:spacing w:after="0"/>
              <w:rPr>
                <w:sz w:val="12"/>
                <w:szCs w:val="12"/>
                <w:color w:val="auto"/>
              </w:rPr>
            </w:pPr>
          </w:p>
        </w:tc>
        <w:tc>
          <w:tcPr>
            <w:tcW w:w="960" w:type="dxa"/>
            <w:vAlign w:val="bottom"/>
          </w:tcPr>
          <w:p>
            <w:pPr>
              <w:jc w:val="right"/>
              <w:ind w:right="152"/>
              <w:spacing w:after="0"/>
              <w:rPr>
                <w:sz w:val="20"/>
                <w:szCs w:val="20"/>
                <w:color w:val="auto"/>
              </w:rPr>
            </w:pPr>
            <w:r>
              <w:rPr>
                <w:rFonts w:ascii="Arial" w:cs="Arial" w:eastAsia="Arial" w:hAnsi="Arial"/>
                <w:sz w:val="11"/>
                <w:szCs w:val="11"/>
                <w:b w:val="1"/>
                <w:bCs w:val="1"/>
                <w:color w:val="auto"/>
              </w:rPr>
              <w:t>Consolidated</w:t>
            </w:r>
          </w:p>
        </w:tc>
        <w:tc>
          <w:tcPr>
            <w:tcW w:w="0" w:type="dxa"/>
            <w:vAlign w:val="bottom"/>
          </w:tcPr>
          <w:p>
            <w:pPr>
              <w:spacing w:after="0"/>
              <w:rPr>
                <w:sz w:val="1"/>
                <w:szCs w:val="1"/>
                <w:color w:val="auto"/>
              </w:rPr>
            </w:pPr>
          </w:p>
        </w:tc>
      </w:tr>
      <w:tr>
        <w:trPr>
          <w:trHeight w:val="107"/>
        </w:trPr>
        <w:tc>
          <w:tcPr>
            <w:tcW w:w="3400" w:type="dxa"/>
            <w:vAlign w:val="bottom"/>
            <w:vMerge w:val="continue"/>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Individual Medicare Advantage</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12,794</w:t>
            </w:r>
          </w:p>
        </w:tc>
        <w:tc>
          <w:tcPr>
            <w:tcW w:w="60" w:type="dxa"/>
            <w:vAlign w:val="bottom"/>
          </w:tcPr>
          <w:p>
            <w:pPr>
              <w:spacing w:after="0"/>
              <w:rPr>
                <w:sz w:val="10"/>
                <w:szCs w:val="10"/>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12,794</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Group Medicare Advantage</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2,011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2,011</w:t>
            </w:r>
          </w:p>
        </w:tc>
        <w:tc>
          <w:tcPr>
            <w:tcW w:w="0" w:type="dxa"/>
            <w:vAlign w:val="bottom"/>
          </w:tcPr>
          <w:p>
            <w:pPr>
              <w:spacing w:after="0"/>
              <w:rPr>
                <w:sz w:val="1"/>
                <w:szCs w:val="1"/>
                <w:color w:val="auto"/>
              </w:rPr>
            </w:pPr>
          </w:p>
        </w:tc>
      </w:tr>
      <w:tr>
        <w:trPr>
          <w:trHeight w:val="125"/>
        </w:trPr>
        <w:tc>
          <w:tcPr>
            <w:tcW w:w="3400" w:type="dxa"/>
            <w:vAlign w:val="bottom"/>
          </w:tcPr>
          <w:p>
            <w:pPr>
              <w:ind w:left="220"/>
              <w:spacing w:after="0"/>
              <w:rPr>
                <w:sz w:val="20"/>
                <w:szCs w:val="20"/>
                <w:color w:val="auto"/>
              </w:rPr>
            </w:pPr>
            <w:r>
              <w:rPr>
                <w:rFonts w:ascii="Arial" w:cs="Arial" w:eastAsia="Arial" w:hAnsi="Arial"/>
                <w:sz w:val="10"/>
                <w:szCs w:val="10"/>
                <w:color w:val="auto"/>
              </w:rPr>
              <w:t>Medicare stand-alone PDP</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755</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755</w:t>
            </w:r>
          </w:p>
        </w:tc>
        <w:tc>
          <w:tcPr>
            <w:tcW w:w="0" w:type="dxa"/>
            <w:vAlign w:val="bottom"/>
          </w:tcPr>
          <w:p>
            <w:pPr>
              <w:spacing w:after="0"/>
              <w:rPr>
                <w:sz w:val="1"/>
                <w:szCs w:val="1"/>
                <w:color w:val="auto"/>
              </w:rPr>
            </w:pPr>
          </w:p>
        </w:tc>
      </w:tr>
      <w:tr>
        <w:trPr>
          <w:trHeight w:val="115"/>
        </w:trPr>
        <w:tc>
          <w:tcPr>
            <w:tcW w:w="3400" w:type="dxa"/>
            <w:vAlign w:val="bottom"/>
          </w:tcPr>
          <w:p>
            <w:pPr>
              <w:ind w:left="300"/>
              <w:spacing w:after="0" w:line="107" w:lineRule="exact"/>
              <w:rPr>
                <w:sz w:val="20"/>
                <w:szCs w:val="20"/>
                <w:color w:val="auto"/>
              </w:rPr>
            </w:pPr>
            <w:r>
              <w:rPr>
                <w:rFonts w:ascii="Arial" w:cs="Arial" w:eastAsia="Arial" w:hAnsi="Arial"/>
                <w:sz w:val="10"/>
                <w:szCs w:val="10"/>
                <w:b w:val="1"/>
                <w:bCs w:val="1"/>
                <w:color w:val="auto"/>
              </w:rPr>
              <w:t>Total Medicare</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15,560</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15,560</w:t>
            </w:r>
          </w:p>
        </w:tc>
        <w:tc>
          <w:tcPr>
            <w:tcW w:w="0" w:type="dxa"/>
            <w:vAlign w:val="bottom"/>
          </w:tcPr>
          <w:p>
            <w:pPr>
              <w:spacing w:after="0"/>
              <w:rPr>
                <w:sz w:val="1"/>
                <w:szCs w:val="1"/>
                <w:color w:val="auto"/>
              </w:rPr>
            </w:pPr>
          </w:p>
        </w:tc>
      </w:tr>
      <w:tr>
        <w:trPr>
          <w:trHeight w:val="116"/>
        </w:trPr>
        <w:tc>
          <w:tcPr>
            <w:tcW w:w="3400" w:type="dxa"/>
            <w:vAlign w:val="bottom"/>
          </w:tcPr>
          <w:p>
            <w:pPr>
              <w:ind w:left="220"/>
              <w:spacing w:after="0" w:line="107" w:lineRule="exact"/>
              <w:rPr>
                <w:sz w:val="20"/>
                <w:szCs w:val="20"/>
                <w:color w:val="auto"/>
              </w:rPr>
            </w:pPr>
            <w:r>
              <w:rPr>
                <w:rFonts w:ascii="Arial" w:cs="Arial" w:eastAsia="Arial" w:hAnsi="Arial"/>
                <w:sz w:val="10"/>
                <w:szCs w:val="10"/>
                <w:color w:val="auto"/>
              </w:rPr>
              <w:t>Fully-insured</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163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1,229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1,392</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Specialty</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429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429</w:t>
            </w:r>
          </w:p>
        </w:tc>
        <w:tc>
          <w:tcPr>
            <w:tcW w:w="0" w:type="dxa"/>
            <w:vAlign w:val="bottom"/>
          </w:tcPr>
          <w:p>
            <w:pPr>
              <w:spacing w:after="0"/>
              <w:rPr>
                <w:sz w:val="1"/>
                <w:szCs w:val="1"/>
                <w:color w:val="auto"/>
              </w:rPr>
            </w:pPr>
          </w:p>
        </w:tc>
      </w:tr>
      <w:tr>
        <w:trPr>
          <w:trHeight w:val="125"/>
        </w:trPr>
        <w:tc>
          <w:tcPr>
            <w:tcW w:w="3400" w:type="dxa"/>
            <w:vAlign w:val="bottom"/>
          </w:tcPr>
          <w:p>
            <w:pPr>
              <w:ind w:left="220"/>
              <w:spacing w:after="0"/>
              <w:rPr>
                <w:sz w:val="20"/>
                <w:szCs w:val="20"/>
                <w:color w:val="auto"/>
              </w:rPr>
            </w:pPr>
            <w:r>
              <w:rPr>
                <w:rFonts w:ascii="Arial" w:cs="Arial" w:eastAsia="Arial" w:hAnsi="Arial"/>
                <w:sz w:val="10"/>
                <w:szCs w:val="10"/>
                <w:color w:val="auto"/>
              </w:rPr>
              <w:t>Medicaid and other (C)</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981</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981</w:t>
            </w:r>
          </w:p>
        </w:tc>
        <w:tc>
          <w:tcPr>
            <w:tcW w:w="0" w:type="dxa"/>
            <w:vAlign w:val="bottom"/>
          </w:tcPr>
          <w:p>
            <w:pPr>
              <w:spacing w:after="0"/>
              <w:rPr>
                <w:sz w:val="1"/>
                <w:szCs w:val="1"/>
                <w:color w:val="auto"/>
              </w:rPr>
            </w:pPr>
          </w:p>
        </w:tc>
      </w:tr>
      <w:tr>
        <w:trPr>
          <w:trHeight w:val="115"/>
        </w:trPr>
        <w:tc>
          <w:tcPr>
            <w:tcW w:w="3400" w:type="dxa"/>
            <w:vAlign w:val="bottom"/>
          </w:tcPr>
          <w:p>
            <w:pPr>
              <w:ind w:left="300"/>
              <w:spacing w:after="0" w:line="107" w:lineRule="exact"/>
              <w:rPr>
                <w:sz w:val="20"/>
                <w:szCs w:val="20"/>
                <w:color w:val="auto"/>
              </w:rPr>
            </w:pPr>
            <w:r>
              <w:rPr>
                <w:rFonts w:ascii="Arial" w:cs="Arial" w:eastAsia="Arial" w:hAnsi="Arial"/>
                <w:sz w:val="10"/>
                <w:szCs w:val="10"/>
                <w:b w:val="1"/>
                <w:bCs w:val="1"/>
                <w:color w:val="auto"/>
              </w:rPr>
              <w:t>Total premiums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16,704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1,658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18,362</w:t>
            </w:r>
          </w:p>
        </w:tc>
        <w:tc>
          <w:tcPr>
            <w:tcW w:w="0" w:type="dxa"/>
            <w:vAlign w:val="bottom"/>
          </w:tcPr>
          <w:p>
            <w:pPr>
              <w:spacing w:after="0"/>
              <w:rPr>
                <w:sz w:val="1"/>
                <w:szCs w:val="1"/>
                <w:color w:val="auto"/>
              </w:rPr>
            </w:pPr>
          </w:p>
        </w:tc>
      </w:tr>
      <w:tr>
        <w:trPr>
          <w:trHeight w:val="107"/>
        </w:trPr>
        <w:tc>
          <w:tcPr>
            <w:tcW w:w="3400" w:type="dxa"/>
            <w:vAlign w:val="bottom"/>
          </w:tcPr>
          <w:p>
            <w:pPr>
              <w:ind w:left="80"/>
              <w:spacing w:after="0" w:line="107" w:lineRule="exact"/>
              <w:rPr>
                <w:sz w:val="20"/>
                <w:szCs w:val="20"/>
                <w:color w:val="auto"/>
              </w:rPr>
            </w:pPr>
            <w:r>
              <w:rPr>
                <w:rFonts w:ascii="Arial" w:cs="Arial" w:eastAsia="Arial" w:hAnsi="Arial"/>
                <w:sz w:val="10"/>
                <w:szCs w:val="10"/>
                <w:b w:val="1"/>
                <w:bCs w:val="1"/>
                <w:color w:val="auto"/>
              </w:rPr>
              <w:t>Services revenue:</w:t>
            </w: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Provider</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104</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104</w:t>
            </w:r>
          </w:p>
        </w:tc>
        <w:tc>
          <w:tcPr>
            <w:tcW w:w="0" w:type="dxa"/>
            <w:vAlign w:val="bottom"/>
          </w:tcPr>
          <w:p>
            <w:pPr>
              <w:spacing w:after="0"/>
              <w:rPr>
                <w:sz w:val="1"/>
                <w:szCs w:val="1"/>
                <w:color w:val="auto"/>
              </w:rPr>
            </w:pPr>
          </w:p>
        </w:tc>
      </w:tr>
      <w:tr>
        <w:trPr>
          <w:trHeight w:val="126"/>
        </w:trPr>
        <w:tc>
          <w:tcPr>
            <w:tcW w:w="3400" w:type="dxa"/>
            <w:vAlign w:val="bottom"/>
          </w:tcPr>
          <w:p>
            <w:pPr>
              <w:ind w:left="220"/>
              <w:spacing w:after="0"/>
              <w:rPr>
                <w:sz w:val="20"/>
                <w:szCs w:val="20"/>
                <w:color w:val="auto"/>
              </w:rPr>
            </w:pPr>
            <w:r>
              <w:rPr>
                <w:rFonts w:ascii="Arial" w:cs="Arial" w:eastAsia="Arial" w:hAnsi="Arial"/>
                <w:sz w:val="10"/>
                <w:szCs w:val="10"/>
                <w:color w:val="auto"/>
              </w:rPr>
              <w:t>ASO and other (D)</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195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199</w:t>
            </w:r>
          </w:p>
        </w:tc>
        <w:tc>
          <w:tcPr>
            <w:tcW w:w="0" w:type="dxa"/>
            <w:vAlign w:val="bottom"/>
          </w:tcPr>
          <w:p>
            <w:pPr>
              <w:spacing w:after="0"/>
              <w:rPr>
                <w:sz w:val="1"/>
                <w:szCs w:val="1"/>
                <w:color w:val="auto"/>
              </w:rPr>
            </w:pPr>
          </w:p>
        </w:tc>
      </w:tr>
      <w:tr>
        <w:trPr>
          <w:trHeight w:val="125"/>
        </w:trPr>
        <w:tc>
          <w:tcPr>
            <w:tcW w:w="3400" w:type="dxa"/>
            <w:vAlign w:val="bottom"/>
          </w:tcPr>
          <w:p>
            <w:pPr>
              <w:ind w:left="220"/>
              <w:spacing w:after="0"/>
              <w:rPr>
                <w:sz w:val="20"/>
                <w:szCs w:val="20"/>
                <w:color w:val="auto"/>
              </w:rPr>
            </w:pPr>
            <w:r>
              <w:rPr>
                <w:rFonts w:ascii="Arial" w:cs="Arial" w:eastAsia="Arial" w:hAnsi="Arial"/>
                <w:sz w:val="10"/>
                <w:szCs w:val="10"/>
                <w:color w:val="auto"/>
              </w:rPr>
              <w:t>Pharmacy</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121</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121</w:t>
            </w:r>
          </w:p>
        </w:tc>
        <w:tc>
          <w:tcPr>
            <w:tcW w:w="0" w:type="dxa"/>
            <w:vAlign w:val="bottom"/>
          </w:tcPr>
          <w:p>
            <w:pPr>
              <w:spacing w:after="0"/>
              <w:rPr>
                <w:sz w:val="1"/>
                <w:szCs w:val="1"/>
                <w:color w:val="auto"/>
              </w:rPr>
            </w:pPr>
          </w:p>
        </w:tc>
      </w:tr>
      <w:tr>
        <w:trPr>
          <w:trHeight w:val="115"/>
        </w:trPr>
        <w:tc>
          <w:tcPr>
            <w:tcW w:w="3400" w:type="dxa"/>
            <w:vAlign w:val="bottom"/>
          </w:tcPr>
          <w:p>
            <w:pPr>
              <w:ind w:left="300"/>
              <w:spacing w:after="0" w:line="107" w:lineRule="exact"/>
              <w:rPr>
                <w:sz w:val="20"/>
                <w:szCs w:val="20"/>
                <w:color w:val="auto"/>
              </w:rPr>
            </w:pPr>
            <w:r>
              <w:rPr>
                <w:rFonts w:ascii="Arial" w:cs="Arial" w:eastAsia="Arial" w:hAnsi="Arial"/>
                <w:sz w:val="10"/>
                <w:szCs w:val="10"/>
                <w:b w:val="1"/>
                <w:bCs w:val="1"/>
                <w:color w:val="auto"/>
              </w:rPr>
              <w:t>Total services revenue</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4</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195</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225</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424</w:t>
            </w:r>
          </w:p>
        </w:tc>
        <w:tc>
          <w:tcPr>
            <w:tcW w:w="0" w:type="dxa"/>
            <w:vAlign w:val="bottom"/>
          </w:tcPr>
          <w:p>
            <w:pPr>
              <w:spacing w:after="0"/>
              <w:rPr>
                <w:sz w:val="1"/>
                <w:szCs w:val="1"/>
                <w:color w:val="auto"/>
              </w:rPr>
            </w:pPr>
          </w:p>
        </w:tc>
      </w:tr>
      <w:tr>
        <w:trPr>
          <w:trHeight w:val="115"/>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Total revenues—external customers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16,708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1,853</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225</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18,786</w:t>
            </w:r>
          </w:p>
        </w:tc>
        <w:tc>
          <w:tcPr>
            <w:tcW w:w="0" w:type="dxa"/>
            <w:vAlign w:val="bottom"/>
          </w:tcPr>
          <w:p>
            <w:pPr>
              <w:spacing w:after="0"/>
              <w:rPr>
                <w:sz w:val="1"/>
                <w:szCs w:val="1"/>
                <w:color w:val="auto"/>
              </w:rPr>
            </w:pPr>
          </w:p>
        </w:tc>
      </w:tr>
      <w:tr>
        <w:trPr>
          <w:trHeight w:val="107"/>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Intersegment revenues</w:t>
            </w:r>
          </w:p>
        </w:tc>
        <w:tc>
          <w:tcPr>
            <w:tcW w:w="2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Services</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7</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4,950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(4,957)</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5"/>
        </w:trPr>
        <w:tc>
          <w:tcPr>
            <w:tcW w:w="3400" w:type="dxa"/>
            <w:vAlign w:val="bottom"/>
          </w:tcPr>
          <w:p>
            <w:pPr>
              <w:ind w:left="80"/>
              <w:spacing w:after="0"/>
              <w:rPr>
                <w:sz w:val="20"/>
                <w:szCs w:val="20"/>
                <w:color w:val="auto"/>
              </w:rPr>
            </w:pPr>
            <w:r>
              <w:rPr>
                <w:rFonts w:ascii="Arial" w:cs="Arial" w:eastAsia="Arial" w:hAnsi="Arial"/>
                <w:sz w:val="10"/>
                <w:szCs w:val="10"/>
                <w:color w:val="auto"/>
              </w:rPr>
              <w:t>Products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1,910</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(1,910)</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Total intersegment revenues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7</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6,860</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(6,867)</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5"/>
        </w:trPr>
        <w:tc>
          <w:tcPr>
            <w:tcW w:w="3400" w:type="dxa"/>
            <w:vAlign w:val="bottom"/>
          </w:tcPr>
          <w:p>
            <w:pPr>
              <w:spacing w:after="0" w:line="107" w:lineRule="exact"/>
              <w:rPr>
                <w:sz w:val="20"/>
                <w:szCs w:val="20"/>
                <w:color w:val="auto"/>
              </w:rPr>
            </w:pPr>
            <w:r>
              <w:rPr>
                <w:rFonts w:ascii="Arial" w:cs="Arial" w:eastAsia="Arial" w:hAnsi="Arial"/>
                <w:sz w:val="10"/>
                <w:szCs w:val="10"/>
                <w:color w:val="auto"/>
              </w:rPr>
              <w:t>Investment income</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54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90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149</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07" w:lineRule="exact"/>
              <w:rPr>
                <w:sz w:val="20"/>
                <w:szCs w:val="20"/>
                <w:color w:val="auto"/>
              </w:rPr>
            </w:pPr>
            <w:r>
              <w:rPr>
                <w:rFonts w:ascii="Arial" w:cs="Arial" w:eastAsia="Arial" w:hAnsi="Arial"/>
                <w:sz w:val="10"/>
                <w:szCs w:val="10"/>
                <w:b w:val="1"/>
                <w:bCs w:val="1"/>
                <w:color w:val="auto"/>
              </w:rPr>
              <w:t>Total revenues</w:t>
            </w:r>
          </w:p>
        </w:tc>
        <w:tc>
          <w:tcPr>
            <w:tcW w:w="24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16,762</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1,865</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7,085</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(6,777)</w:t>
            </w: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18,935</w:t>
            </w:r>
          </w:p>
        </w:tc>
        <w:tc>
          <w:tcPr>
            <w:tcW w:w="0" w:type="dxa"/>
            <w:vAlign w:val="bottom"/>
          </w:tcPr>
          <w:p>
            <w:pPr>
              <w:spacing w:after="0"/>
              <w:rPr>
                <w:sz w:val="1"/>
                <w:szCs w:val="1"/>
                <w:color w:val="auto"/>
              </w:rPr>
            </w:pPr>
          </w:p>
        </w:tc>
      </w:tr>
      <w:tr>
        <w:trPr>
          <w:trHeight w:val="107"/>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Operating expenses:</w:t>
            </w: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Benefits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14,464</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1,311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(146)</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15,629</w:t>
            </w:r>
          </w:p>
        </w:tc>
        <w:tc>
          <w:tcPr>
            <w:tcW w:w="0" w:type="dxa"/>
            <w:vAlign w:val="bottom"/>
          </w:tcPr>
          <w:p>
            <w:pPr>
              <w:spacing w:after="0"/>
              <w:rPr>
                <w:sz w:val="1"/>
                <w:szCs w:val="1"/>
                <w:color w:val="auto"/>
              </w:rPr>
            </w:pPr>
          </w:p>
        </w:tc>
      </w:tr>
      <w:tr>
        <w:trPr>
          <w:trHeight w:val="126"/>
        </w:trPr>
        <w:tc>
          <w:tcPr>
            <w:tcW w:w="3400" w:type="dxa"/>
            <w:vAlign w:val="bottom"/>
          </w:tcPr>
          <w:p>
            <w:pPr>
              <w:ind w:left="80"/>
              <w:spacing w:after="0"/>
              <w:rPr>
                <w:sz w:val="20"/>
                <w:szCs w:val="20"/>
                <w:color w:val="auto"/>
              </w:rPr>
            </w:pPr>
            <w:r>
              <w:rPr>
                <w:rFonts w:ascii="Arial" w:cs="Arial" w:eastAsia="Arial" w:hAnsi="Arial"/>
                <w:sz w:val="10"/>
                <w:szCs w:val="10"/>
                <w:color w:val="auto"/>
              </w:rPr>
              <w:t>Operating costs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1,532</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429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6,800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(6,644)</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2,117</w:t>
            </w:r>
          </w:p>
        </w:tc>
        <w:tc>
          <w:tcPr>
            <w:tcW w:w="0" w:type="dxa"/>
            <w:vAlign w:val="bottom"/>
          </w:tcPr>
          <w:p>
            <w:pPr>
              <w:spacing w:after="0"/>
              <w:rPr>
                <w:sz w:val="1"/>
                <w:szCs w:val="1"/>
                <w:color w:val="auto"/>
              </w:rPr>
            </w:pPr>
          </w:p>
        </w:tc>
      </w:tr>
      <w:tr>
        <w:trPr>
          <w:trHeight w:val="125"/>
        </w:trPr>
        <w:tc>
          <w:tcPr>
            <w:tcW w:w="3400" w:type="dxa"/>
            <w:vAlign w:val="bottom"/>
          </w:tcPr>
          <w:p>
            <w:pPr>
              <w:ind w:left="80"/>
              <w:spacing w:after="0"/>
              <w:rPr>
                <w:sz w:val="20"/>
                <w:szCs w:val="20"/>
                <w:color w:val="auto"/>
              </w:rPr>
            </w:pPr>
            <w:r>
              <w:rPr>
                <w:rFonts w:ascii="Arial" w:cs="Arial" w:eastAsia="Arial" w:hAnsi="Arial"/>
                <w:sz w:val="10"/>
                <w:szCs w:val="10"/>
                <w:color w:val="auto"/>
              </w:rPr>
              <w:t>Depreciation and amortization</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81</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20</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43</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115</w:t>
            </w:r>
          </w:p>
        </w:tc>
        <w:tc>
          <w:tcPr>
            <w:tcW w:w="0" w:type="dxa"/>
            <w:vAlign w:val="bottom"/>
          </w:tcPr>
          <w:p>
            <w:pPr>
              <w:spacing w:after="0"/>
              <w:rPr>
                <w:sz w:val="1"/>
                <w:szCs w:val="1"/>
                <w:color w:val="auto"/>
              </w:rPr>
            </w:pPr>
          </w:p>
        </w:tc>
      </w:tr>
      <w:tr>
        <w:trPr>
          <w:trHeight w:val="115"/>
        </w:trPr>
        <w:tc>
          <w:tcPr>
            <w:tcW w:w="3400" w:type="dxa"/>
            <w:vAlign w:val="bottom"/>
          </w:tcPr>
          <w:p>
            <w:pPr>
              <w:ind w:left="140"/>
              <w:spacing w:after="0" w:line="107" w:lineRule="exact"/>
              <w:rPr>
                <w:sz w:val="20"/>
                <w:szCs w:val="20"/>
                <w:color w:val="auto"/>
              </w:rPr>
            </w:pPr>
            <w:r>
              <w:rPr>
                <w:rFonts w:ascii="Arial" w:cs="Arial" w:eastAsia="Arial" w:hAnsi="Arial"/>
                <w:sz w:val="10"/>
                <w:szCs w:val="10"/>
                <w:b w:val="1"/>
                <w:bCs w:val="1"/>
                <w:color w:val="auto"/>
              </w:rPr>
              <w:t>Total operating expenses</w:t>
            </w: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16,077</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color w:val="auto"/>
              </w:rPr>
              <w:t>1,760</w:t>
            </w: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6,843</w:t>
            </w: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(6,819)</w:t>
            </w:r>
          </w:p>
        </w:tc>
        <w:tc>
          <w:tcPr>
            <w:tcW w:w="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17,861</w:t>
            </w:r>
          </w:p>
        </w:tc>
        <w:tc>
          <w:tcPr>
            <w:tcW w:w="0" w:type="dxa"/>
            <w:vAlign w:val="bottom"/>
          </w:tcPr>
          <w:p>
            <w:pPr>
              <w:spacing w:after="0"/>
              <w:rPr>
                <w:sz w:val="1"/>
                <w:szCs w:val="1"/>
                <w:color w:val="auto"/>
              </w:rPr>
            </w:pPr>
          </w:p>
        </w:tc>
      </w:tr>
      <w:tr>
        <w:trPr>
          <w:trHeight w:val="116"/>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Income from operations</w:t>
            </w:r>
          </w:p>
        </w:tc>
        <w:tc>
          <w:tcPr>
            <w:tcW w:w="240" w:type="dxa"/>
            <w:vAlign w:val="bottom"/>
          </w:tcPr>
          <w:p>
            <w:pPr>
              <w:spacing w:after="0"/>
              <w:rPr>
                <w:sz w:val="10"/>
                <w:szCs w:val="10"/>
                <w:color w:val="auto"/>
              </w:rPr>
            </w:pPr>
          </w:p>
        </w:tc>
        <w:tc>
          <w:tcPr>
            <w:tcW w:w="840" w:type="dxa"/>
            <w:vAlign w:val="bottom"/>
          </w:tcPr>
          <w:p>
            <w:pPr>
              <w:jc w:val="right"/>
              <w:ind w:right="92"/>
              <w:spacing w:after="0"/>
              <w:rPr>
                <w:sz w:val="20"/>
                <w:szCs w:val="20"/>
                <w:color w:val="auto"/>
              </w:rPr>
            </w:pPr>
            <w:r>
              <w:rPr>
                <w:rFonts w:ascii="Arial" w:cs="Arial" w:eastAsia="Arial" w:hAnsi="Arial"/>
                <w:sz w:val="10"/>
                <w:szCs w:val="10"/>
                <w:color w:val="auto"/>
              </w:rPr>
              <w:t>685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92"/>
              <w:spacing w:after="0"/>
              <w:rPr>
                <w:sz w:val="20"/>
                <w:szCs w:val="20"/>
                <w:color w:val="auto"/>
              </w:rPr>
            </w:pPr>
            <w:r>
              <w:rPr>
                <w:rFonts w:ascii="Arial" w:cs="Arial" w:eastAsia="Arial" w:hAnsi="Arial"/>
                <w:sz w:val="10"/>
                <w:szCs w:val="10"/>
                <w:color w:val="auto"/>
              </w:rPr>
              <w:t>105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242</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42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1,074</w:t>
            </w:r>
          </w:p>
        </w:tc>
        <w:tc>
          <w:tcPr>
            <w:tcW w:w="0" w:type="dxa"/>
            <w:vAlign w:val="bottom"/>
          </w:tcPr>
          <w:p>
            <w:pPr>
              <w:spacing w:after="0"/>
              <w:rPr>
                <w:sz w:val="1"/>
                <w:szCs w:val="1"/>
                <w:color w:val="auto"/>
              </w:rPr>
            </w:pPr>
          </w:p>
        </w:tc>
      </w:tr>
      <w:tr>
        <w:trPr>
          <w:trHeight w:val="126"/>
        </w:trPr>
        <w:tc>
          <w:tcPr>
            <w:tcW w:w="3400" w:type="dxa"/>
            <w:vAlign w:val="bottom"/>
          </w:tcPr>
          <w:p>
            <w:pPr>
              <w:spacing w:after="0"/>
              <w:rPr>
                <w:sz w:val="20"/>
                <w:szCs w:val="20"/>
                <w:color w:val="auto"/>
              </w:rPr>
            </w:pPr>
            <w:r>
              <w:rPr>
                <w:rFonts w:ascii="Arial" w:cs="Arial" w:eastAsia="Arial" w:hAnsi="Arial"/>
                <w:sz w:val="10"/>
                <w:szCs w:val="10"/>
                <w:color w:val="auto"/>
              </w:rPr>
              <w:t>Interest expense</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60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60</w:t>
            </w:r>
          </w:p>
        </w:tc>
        <w:tc>
          <w:tcPr>
            <w:tcW w:w="0" w:type="dxa"/>
            <w:vAlign w:val="bottom"/>
          </w:tcPr>
          <w:p>
            <w:pPr>
              <w:spacing w:after="0"/>
              <w:rPr>
                <w:sz w:val="1"/>
                <w:szCs w:val="1"/>
                <w:color w:val="auto"/>
              </w:rPr>
            </w:pPr>
          </w:p>
        </w:tc>
      </w:tr>
      <w:tr>
        <w:trPr>
          <w:trHeight w:val="125"/>
        </w:trPr>
        <w:tc>
          <w:tcPr>
            <w:tcW w:w="3400" w:type="dxa"/>
            <w:vAlign w:val="bottom"/>
          </w:tcPr>
          <w:p>
            <w:pPr>
              <w:spacing w:after="0"/>
              <w:rPr>
                <w:sz w:val="20"/>
                <w:szCs w:val="20"/>
                <w:color w:val="auto"/>
              </w:rPr>
            </w:pPr>
            <w:r>
              <w:rPr>
                <w:rFonts w:ascii="Arial" w:cs="Arial" w:eastAsia="Arial" w:hAnsi="Arial"/>
                <w:sz w:val="10"/>
                <w:szCs w:val="10"/>
                <w:color w:val="auto"/>
              </w:rPr>
              <w:t>Other expense, net (A)</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297</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297</w:t>
            </w:r>
          </w:p>
        </w:tc>
        <w:tc>
          <w:tcPr>
            <w:tcW w:w="0" w:type="dxa"/>
            <w:vAlign w:val="bottom"/>
          </w:tcPr>
          <w:p>
            <w:pPr>
              <w:spacing w:after="0"/>
              <w:rPr>
                <w:sz w:val="1"/>
                <w:szCs w:val="1"/>
                <w:color w:val="auto"/>
              </w:rPr>
            </w:pPr>
          </w:p>
        </w:tc>
      </w:tr>
      <w:tr>
        <w:trPr>
          <w:trHeight w:val="115"/>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Income (loss) before income taxes and equity in net earnings</w:t>
            </w:r>
          </w:p>
        </w:tc>
        <w:tc>
          <w:tcPr>
            <w:tcW w:w="24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685</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105</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242</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(315)</w:t>
            </w: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717</w:t>
            </w:r>
          </w:p>
        </w:tc>
        <w:tc>
          <w:tcPr>
            <w:tcW w:w="0" w:type="dxa"/>
            <w:vAlign w:val="bottom"/>
          </w:tcPr>
          <w:p>
            <w:pPr>
              <w:spacing w:after="0"/>
              <w:rPr>
                <w:sz w:val="1"/>
                <w:szCs w:val="1"/>
                <w:color w:val="auto"/>
              </w:rPr>
            </w:pPr>
          </w:p>
        </w:tc>
      </w:tr>
      <w:tr>
        <w:trPr>
          <w:trHeight w:val="115"/>
        </w:trPr>
        <w:tc>
          <w:tcPr>
            <w:tcW w:w="3400" w:type="dxa"/>
            <w:vAlign w:val="bottom"/>
          </w:tcPr>
          <w:p>
            <w:pPr>
              <w:ind w:left="220"/>
              <w:spacing w:after="0" w:line="107" w:lineRule="exact"/>
              <w:rPr>
                <w:sz w:val="20"/>
                <w:szCs w:val="20"/>
                <w:color w:val="auto"/>
              </w:rPr>
            </w:pPr>
            <w:r>
              <w:rPr>
                <w:rFonts w:ascii="Arial" w:cs="Arial" w:eastAsia="Arial" w:hAnsi="Arial"/>
                <w:sz w:val="10"/>
                <w:szCs w:val="10"/>
                <w:color w:val="auto"/>
              </w:rPr>
              <w:t>Equity in net earnings (B)</w:t>
            </w:r>
          </w:p>
        </w:tc>
        <w:tc>
          <w:tcPr>
            <w:tcW w:w="240" w:type="dxa"/>
            <w:vAlign w:val="bottom"/>
          </w:tcPr>
          <w:p>
            <w:pPr>
              <w:spacing w:after="0"/>
              <w:rPr>
                <w:sz w:val="10"/>
                <w:szCs w:val="1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920" w:type="dxa"/>
            <w:vAlign w:val="bottom"/>
          </w:tcPr>
          <w:p>
            <w:pPr>
              <w:jc w:val="right"/>
              <w:ind w:right="72"/>
              <w:spacing w:after="0"/>
              <w:rPr>
                <w:sz w:val="20"/>
                <w:szCs w:val="20"/>
                <w:color w:val="auto"/>
              </w:rPr>
            </w:pPr>
            <w:r>
              <w:rPr>
                <w:rFonts w:ascii="Arial" w:cs="Arial" w:eastAsia="Arial" w:hAnsi="Arial"/>
                <w:sz w:val="10"/>
                <w:szCs w:val="10"/>
                <w:color w:val="auto"/>
              </w:rPr>
              <w:t>8</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960" w:type="dxa"/>
            <w:vAlign w:val="bottom"/>
          </w:tcPr>
          <w:p>
            <w:pPr>
              <w:jc w:val="right"/>
              <w:ind w:right="72"/>
              <w:spacing w:after="0"/>
              <w:rPr>
                <w:sz w:val="20"/>
                <w:szCs w:val="20"/>
                <w:color w:val="auto"/>
              </w:rPr>
            </w:pPr>
            <w:r>
              <w:rPr>
                <w:rFonts w:ascii="Arial" w:cs="Arial" w:eastAsia="Arial" w:hAnsi="Arial"/>
                <w:sz w:val="10"/>
                <w:szCs w:val="10"/>
                <w:color w:val="auto"/>
              </w:rPr>
              <w:t>8</w:t>
            </w:r>
          </w:p>
        </w:tc>
        <w:tc>
          <w:tcPr>
            <w:tcW w:w="0" w:type="dxa"/>
            <w:vAlign w:val="bottom"/>
          </w:tcPr>
          <w:p>
            <w:pPr>
              <w:spacing w:after="0"/>
              <w:rPr>
                <w:sz w:val="1"/>
                <w:szCs w:val="1"/>
                <w:color w:val="auto"/>
              </w:rPr>
            </w:pPr>
          </w:p>
        </w:tc>
      </w:tr>
      <w:tr>
        <w:trPr>
          <w:trHeight w:val="115"/>
        </w:trPr>
        <w:tc>
          <w:tcPr>
            <w:tcW w:w="3400" w:type="dxa"/>
            <w:vAlign w:val="bottom"/>
          </w:tcPr>
          <w:p>
            <w:pPr>
              <w:spacing w:after="0" w:line="107" w:lineRule="exact"/>
              <w:rPr>
                <w:sz w:val="20"/>
                <w:szCs w:val="20"/>
                <w:color w:val="auto"/>
              </w:rPr>
            </w:pPr>
            <w:r>
              <w:rPr>
                <w:rFonts w:ascii="Arial" w:cs="Arial" w:eastAsia="Arial" w:hAnsi="Arial"/>
                <w:sz w:val="10"/>
                <w:szCs w:val="10"/>
                <w:b w:val="1"/>
                <w:bCs w:val="1"/>
                <w:color w:val="auto"/>
              </w:rPr>
              <w:t>Segment earnings (loss)</w:t>
            </w: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685</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rPr>
              <w:t>105</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250</w:t>
            </w:r>
          </w:p>
        </w:tc>
        <w:tc>
          <w:tcPr>
            <w:tcW w:w="1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(315)</w:t>
            </w:r>
          </w:p>
        </w:tc>
        <w:tc>
          <w:tcPr>
            <w:tcW w:w="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725</w:t>
            </w: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Arial" w:cs="Arial" w:eastAsia="Arial" w:hAnsi="Arial"/>
                <w:sz w:val="10"/>
                <w:szCs w:val="10"/>
                <w:b w:val="1"/>
                <w:bCs w:val="1"/>
                <w:color w:val="auto"/>
              </w:rPr>
              <w:t>Benefit ratio</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4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jc w:val="right"/>
              <w:spacing w:after="0" w:line="103" w:lineRule="exact"/>
              <w:rPr>
                <w:sz w:val="20"/>
                <w:szCs w:val="20"/>
                <w:color w:val="auto"/>
              </w:rPr>
            </w:pPr>
            <w:r>
              <w:rPr>
                <w:rFonts w:ascii="Arial" w:cs="Arial" w:eastAsia="Arial" w:hAnsi="Arial"/>
                <w:sz w:val="10"/>
                <w:szCs w:val="10"/>
                <w:color w:val="auto"/>
              </w:rPr>
              <w:t>86.6 %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jc w:val="right"/>
              <w:spacing w:after="0" w:line="103" w:lineRule="exact"/>
              <w:rPr>
                <w:sz w:val="20"/>
                <w:szCs w:val="20"/>
                <w:color w:val="auto"/>
              </w:rPr>
            </w:pPr>
            <w:r>
              <w:rPr>
                <w:rFonts w:ascii="Arial" w:cs="Arial" w:eastAsia="Arial" w:hAnsi="Arial"/>
                <w:sz w:val="10"/>
                <w:szCs w:val="10"/>
                <w:color w:val="auto"/>
              </w:rPr>
              <w:t>79.1 %</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jc w:val="right"/>
              <w:spacing w:after="0" w:line="103" w:lineRule="exact"/>
              <w:rPr>
                <w:sz w:val="20"/>
                <w:szCs w:val="20"/>
                <w:color w:val="auto"/>
              </w:rPr>
            </w:pPr>
            <w:r>
              <w:rPr>
                <w:rFonts w:ascii="Arial" w:cs="Arial" w:eastAsia="Arial" w:hAnsi="Arial"/>
                <w:sz w:val="10"/>
                <w:szCs w:val="10"/>
                <w:color w:val="auto"/>
              </w:rPr>
              <w:t>85.1 %</w:t>
            </w:r>
          </w:p>
        </w:tc>
        <w:tc>
          <w:tcPr>
            <w:tcW w:w="0" w:type="dxa"/>
            <w:vAlign w:val="bottom"/>
          </w:tcPr>
          <w:p>
            <w:pPr>
              <w:spacing w:after="0"/>
              <w:rPr>
                <w:sz w:val="1"/>
                <w:szCs w:val="1"/>
                <w:color w:val="auto"/>
              </w:rPr>
            </w:pPr>
          </w:p>
        </w:tc>
      </w:tr>
      <w:tr>
        <w:trPr>
          <w:trHeight w:val="127"/>
        </w:trPr>
        <w:tc>
          <w:tcPr>
            <w:tcW w:w="3400" w:type="dxa"/>
            <w:vAlign w:val="bottom"/>
          </w:tcPr>
          <w:p>
            <w:pPr>
              <w:spacing w:after="0"/>
              <w:rPr>
                <w:sz w:val="20"/>
                <w:szCs w:val="20"/>
                <w:color w:val="auto"/>
              </w:rPr>
            </w:pPr>
            <w:r>
              <w:rPr>
                <w:rFonts w:ascii="Arial" w:cs="Arial" w:eastAsia="Arial" w:hAnsi="Arial"/>
                <w:sz w:val="10"/>
                <w:szCs w:val="10"/>
                <w:b w:val="1"/>
                <w:bCs w:val="1"/>
                <w:color w:val="auto"/>
              </w:rPr>
              <w:t>Operating cost ratio</w:t>
            </w:r>
          </w:p>
        </w:tc>
        <w:tc>
          <w:tcPr>
            <w:tcW w:w="24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9.2 %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23.1 %</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96.0 %</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11.3 %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S-7</w:t>
      </w:r>
    </w:p>
    <w:p>
      <w:pPr>
        <w:sectPr>
          <w:pgSz w:w="11900" w:h="16838" w:orient="portrait"/>
          <w:cols w:equalWidth="0" w:num="1">
            <w:col w:w="10159"/>
          </w:cols>
          <w:pgMar w:left="300" w:top="789"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Humana Inc.</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Ending Membership Detail</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80" w:type="dxa"/>
            <w:vAlign w:val="bottom"/>
          </w:tcPr>
          <w:p>
            <w:pPr>
              <w:spacing w:after="0"/>
              <w:rPr>
                <w:sz w:val="11"/>
                <w:szCs w:val="11"/>
                <w:color w:val="auto"/>
              </w:rPr>
            </w:pPr>
          </w:p>
        </w:tc>
        <w:tc>
          <w:tcPr>
            <w:tcW w:w="1060" w:type="dxa"/>
            <w:vAlign w:val="bottom"/>
            <w:tcBorders>
              <w:top w:val="single" w:sz="8" w:color="auto"/>
              <w:left w:val="single" w:sz="8" w:color="auto"/>
            </w:tcBorders>
          </w:tcPr>
          <w:p>
            <w:pPr>
              <w:spacing w:after="0"/>
              <w:rPr>
                <w:sz w:val="11"/>
                <w:szCs w:val="11"/>
                <w:color w:val="auto"/>
              </w:rPr>
            </w:pPr>
          </w:p>
        </w:tc>
        <w:tc>
          <w:tcPr>
            <w:tcW w:w="60" w:type="dxa"/>
            <w:vAlign w:val="bottom"/>
            <w:tcBorders>
              <w:top w:val="single" w:sz="8" w:color="auto"/>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2040" w:type="dxa"/>
            <w:vAlign w:val="bottom"/>
            <w:tcBorders>
              <w:top w:val="single" w:sz="8" w:color="auto"/>
              <w:bottom w:val="single" w:sz="8" w:color="auto"/>
              <w:right w:val="single" w:sz="8" w:color="auto"/>
            </w:tcBorders>
            <w:gridSpan w:val="2"/>
          </w:tcPr>
          <w:p>
            <w:pPr>
              <w:jc w:val="right"/>
              <w:ind w:right="452"/>
              <w:spacing w:after="0"/>
              <w:rPr>
                <w:sz w:val="20"/>
                <w:szCs w:val="20"/>
                <w:color w:val="auto"/>
              </w:rPr>
            </w:pPr>
            <w:r>
              <w:rPr>
                <w:rFonts w:ascii="Arial" w:cs="Arial" w:eastAsia="Arial" w:hAnsi="Arial"/>
                <w:sz w:val="10"/>
                <w:szCs w:val="10"/>
                <w:b w:val="1"/>
                <w:bCs w:val="1"/>
                <w:color w:val="auto"/>
              </w:rPr>
              <w:t>Year-over-Year Change</w:t>
            </w: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480" w:type="dxa"/>
            <w:vAlign w:val="bottom"/>
            <w:tcBorders>
              <w:top w:val="single" w:sz="8" w:color="auto"/>
              <w:bottom w:val="single" w:sz="8" w:color="auto"/>
              <w:right w:val="single" w:sz="8" w:color="auto"/>
            </w:tcBorders>
            <w:gridSpan w:val="2"/>
          </w:tcPr>
          <w:p>
            <w:pPr>
              <w:jc w:val="right"/>
              <w:ind w:right="272"/>
              <w:spacing w:after="0"/>
              <w:rPr>
                <w:sz w:val="20"/>
                <w:szCs w:val="20"/>
                <w:color w:val="auto"/>
              </w:rPr>
            </w:pPr>
            <w:r>
              <w:rPr>
                <w:rFonts w:ascii="Arial" w:cs="Arial" w:eastAsia="Arial" w:hAnsi="Arial"/>
                <w:sz w:val="10"/>
                <w:szCs w:val="10"/>
                <w:b w:val="1"/>
                <w:bCs w:val="1"/>
                <w:color w:val="auto"/>
              </w:rPr>
              <w:t>Sequential Change</w:t>
            </w:r>
          </w:p>
        </w:tc>
        <w:tc>
          <w:tcPr>
            <w:tcW w:w="0" w:type="dxa"/>
            <w:vAlign w:val="bottom"/>
          </w:tcPr>
          <w:p>
            <w:pPr>
              <w:spacing w:after="0"/>
              <w:rPr>
                <w:sz w:val="1"/>
                <w:szCs w:val="1"/>
                <w:color w:val="auto"/>
              </w:rPr>
            </w:pPr>
          </w:p>
        </w:tc>
      </w:tr>
      <w:tr>
        <w:trPr>
          <w:trHeight w:val="115"/>
        </w:trPr>
        <w:tc>
          <w:tcPr>
            <w:tcW w:w="2680" w:type="dxa"/>
            <w:vAlign w:val="bottom"/>
            <w:vMerge w:val="restart"/>
          </w:tcPr>
          <w:p>
            <w:pPr>
              <w:spacing w:after="0"/>
              <w:rPr>
                <w:sz w:val="20"/>
                <w:szCs w:val="20"/>
                <w:color w:val="auto"/>
              </w:rPr>
            </w:pPr>
            <w:r>
              <w:rPr>
                <w:rFonts w:ascii="Arial" w:cs="Arial" w:eastAsia="Arial" w:hAnsi="Arial"/>
                <w:sz w:val="10"/>
                <w:szCs w:val="10"/>
                <w:b w:val="1"/>
                <w:bCs w:val="1"/>
                <w:color w:val="auto"/>
              </w:rPr>
              <w:t>Medical Membership:</w:t>
            </w:r>
          </w:p>
        </w:tc>
        <w:tc>
          <w:tcPr>
            <w:tcW w:w="1120" w:type="dxa"/>
            <w:vAlign w:val="bottom"/>
            <w:tcBorders>
              <w:left w:val="single" w:sz="8" w:color="auto"/>
              <w:right w:val="single" w:sz="8" w:color="auto"/>
            </w:tcBorders>
            <w:gridSpan w:val="2"/>
          </w:tcPr>
          <w:p>
            <w:pPr>
              <w:jc w:val="right"/>
              <w:ind w:right="220"/>
              <w:spacing w:after="0"/>
              <w:rPr>
                <w:sz w:val="20"/>
                <w:szCs w:val="20"/>
                <w:color w:val="auto"/>
              </w:rPr>
            </w:pPr>
            <w:r>
              <w:rPr>
                <w:rFonts w:ascii="Arial" w:cs="Arial" w:eastAsia="Arial" w:hAnsi="Arial"/>
                <w:sz w:val="10"/>
                <w:szCs w:val="10"/>
                <w:b w:val="1"/>
                <w:bCs w:val="1"/>
                <w:color w:val="00497F"/>
              </w:rPr>
              <w:t>March 31, 2021</w:t>
            </w:r>
          </w:p>
        </w:tc>
        <w:tc>
          <w:tcPr>
            <w:tcW w:w="11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00497F"/>
                <w:w w:val="95"/>
              </w:rPr>
              <w:t>Average 1Q21</w:t>
            </w:r>
          </w:p>
        </w:tc>
        <w:tc>
          <w:tcPr>
            <w:tcW w:w="1140" w:type="dxa"/>
            <w:vAlign w:val="bottom"/>
            <w:gridSpan w:val="2"/>
          </w:tcPr>
          <w:p>
            <w:pPr>
              <w:ind w:left="200"/>
              <w:spacing w:after="0"/>
              <w:rPr>
                <w:sz w:val="20"/>
                <w:szCs w:val="20"/>
                <w:color w:val="auto"/>
              </w:rPr>
            </w:pPr>
            <w:r>
              <w:rPr>
                <w:rFonts w:ascii="Arial" w:cs="Arial" w:eastAsia="Arial" w:hAnsi="Arial"/>
                <w:sz w:val="10"/>
                <w:szCs w:val="10"/>
                <w:color w:val="auto"/>
              </w:rPr>
              <w:t>March 31, 2020</w:t>
            </w: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rPr>
              <w:t>Amount</w:t>
            </w:r>
          </w:p>
        </w:tc>
        <w:tc>
          <w:tcPr>
            <w:tcW w:w="960" w:type="dxa"/>
            <w:vAlign w:val="bottom"/>
            <w:gridSpan w:val="2"/>
          </w:tcPr>
          <w:p>
            <w:pPr>
              <w:ind w:left="280"/>
              <w:spacing w:after="0"/>
              <w:rPr>
                <w:sz w:val="20"/>
                <w:szCs w:val="20"/>
                <w:color w:val="auto"/>
              </w:rPr>
            </w:pPr>
            <w:r>
              <w:rPr>
                <w:rFonts w:ascii="Arial" w:cs="Arial" w:eastAsia="Arial" w:hAnsi="Arial"/>
                <w:sz w:val="10"/>
                <w:szCs w:val="10"/>
                <w:b w:val="1"/>
                <w:bCs w:val="1"/>
                <w:color w:val="auto"/>
              </w:rPr>
              <w:t>Percent</w:t>
            </w:r>
          </w:p>
        </w:tc>
        <w:tc>
          <w:tcPr>
            <w:tcW w:w="1060" w:type="dxa"/>
            <w:vAlign w:val="bottom"/>
            <w:gridSpan w:val="2"/>
          </w:tcPr>
          <w:p>
            <w:pPr>
              <w:ind w:left="60"/>
              <w:spacing w:after="0"/>
              <w:rPr>
                <w:sz w:val="20"/>
                <w:szCs w:val="20"/>
                <w:color w:val="auto"/>
              </w:rPr>
            </w:pPr>
            <w:r>
              <w:rPr>
                <w:rFonts w:ascii="Arial" w:cs="Arial" w:eastAsia="Arial" w:hAnsi="Arial"/>
                <w:sz w:val="10"/>
                <w:szCs w:val="10"/>
                <w:b w:val="1"/>
                <w:bCs w:val="1"/>
                <w:color w:val="auto"/>
              </w:rPr>
              <w:t>December 31, 2020</w:t>
            </w:r>
          </w:p>
        </w:tc>
        <w:tc>
          <w:tcPr>
            <w:tcW w:w="680" w:type="dxa"/>
            <w:vAlign w:val="bottom"/>
          </w:tcPr>
          <w:p>
            <w:pPr>
              <w:jc w:val="right"/>
              <w:ind w:right="132"/>
              <w:spacing w:after="0"/>
              <w:rPr>
                <w:sz w:val="20"/>
                <w:szCs w:val="20"/>
                <w:color w:val="auto"/>
              </w:rPr>
            </w:pPr>
            <w:r>
              <w:rPr>
                <w:rFonts w:ascii="Arial" w:cs="Arial" w:eastAsia="Arial" w:hAnsi="Arial"/>
                <w:sz w:val="10"/>
                <w:szCs w:val="10"/>
                <w:b w:val="1"/>
                <w:bCs w:val="1"/>
                <w:color w:val="auto"/>
              </w:rPr>
              <w:t>Amount</w:t>
            </w:r>
          </w:p>
        </w:tc>
        <w:tc>
          <w:tcPr>
            <w:tcW w:w="800" w:type="dxa"/>
            <w:vAlign w:val="bottom"/>
          </w:tcPr>
          <w:p>
            <w:pPr>
              <w:jc w:val="right"/>
              <w:ind w:right="192"/>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06"/>
        </w:trPr>
        <w:tc>
          <w:tcPr>
            <w:tcW w:w="2680" w:type="dxa"/>
            <w:vAlign w:val="bottom"/>
            <w:vMerge w:val="continue"/>
          </w:tcPr>
          <w:p>
            <w:pPr>
              <w:spacing w:after="0"/>
              <w:rPr>
                <w:sz w:val="9"/>
                <w:szCs w:val="9"/>
                <w:color w:val="auto"/>
              </w:rPr>
            </w:pPr>
          </w:p>
        </w:tc>
        <w:tc>
          <w:tcPr>
            <w:tcW w:w="1060" w:type="dxa"/>
            <w:vAlign w:val="bottom"/>
            <w:tcBorders>
              <w:top w:val="single" w:sz="8" w:color="auto"/>
              <w:left w:val="single" w:sz="8" w:color="auto"/>
            </w:tcBorders>
          </w:tcPr>
          <w:p>
            <w:pPr>
              <w:spacing w:after="0"/>
              <w:rPr>
                <w:sz w:val="9"/>
                <w:szCs w:val="9"/>
                <w:color w:val="auto"/>
              </w:rPr>
            </w:pPr>
          </w:p>
        </w:tc>
        <w:tc>
          <w:tcPr>
            <w:tcW w:w="60" w:type="dxa"/>
            <w:vAlign w:val="bottom"/>
            <w:tcBorders>
              <w:top w:val="single" w:sz="8" w:color="auto"/>
              <w:right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680" w:type="dxa"/>
            <w:vAlign w:val="bottom"/>
          </w:tcPr>
          <w:p>
            <w:pPr>
              <w:spacing w:after="0"/>
              <w:rPr>
                <w:sz w:val="20"/>
                <w:szCs w:val="20"/>
                <w:color w:val="auto"/>
              </w:rPr>
            </w:pPr>
            <w:r>
              <w:rPr>
                <w:rFonts w:ascii="Arial" w:cs="Arial" w:eastAsia="Arial" w:hAnsi="Arial"/>
                <w:sz w:val="10"/>
                <w:szCs w:val="10"/>
                <w:b w:val="1"/>
                <w:bCs w:val="1"/>
                <w:color w:val="auto"/>
              </w:rPr>
              <w:t>Retail</w:t>
            </w:r>
          </w:p>
        </w:tc>
        <w:tc>
          <w:tcPr>
            <w:tcW w:w="1120" w:type="dxa"/>
            <w:vAlign w:val="bottom"/>
            <w:tcBorders>
              <w:left w:val="single" w:sz="8" w:color="auto"/>
              <w:right w:val="single" w:sz="8" w:color="auto"/>
            </w:tcBorders>
            <w:gridSpan w:val="2"/>
            <w:vMerge w:val="restart"/>
          </w:tcPr>
          <w:p>
            <w:pPr>
              <w:jc w:val="right"/>
              <w:ind w:right="60"/>
              <w:spacing w:after="0"/>
              <w:rPr>
                <w:sz w:val="20"/>
                <w:szCs w:val="20"/>
                <w:color w:val="auto"/>
              </w:rPr>
            </w:pPr>
            <w:r>
              <w:rPr>
                <w:rFonts w:ascii="Arial" w:cs="Arial" w:eastAsia="Arial" w:hAnsi="Arial"/>
                <w:sz w:val="10"/>
                <w:szCs w:val="10"/>
                <w:b w:val="1"/>
                <w:bCs w:val="1"/>
                <w:color w:val="00497F"/>
              </w:rPr>
              <w:t>4,291.3</w:t>
            </w:r>
          </w:p>
        </w:tc>
        <w:tc>
          <w:tcPr>
            <w:tcW w:w="114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00497F"/>
              </w:rPr>
              <w:t>4,280.7</w:t>
            </w: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680" w:type="dxa"/>
            <w:vAlign w:val="bottom"/>
          </w:tcPr>
          <w:p>
            <w:pPr>
              <w:ind w:left="140"/>
              <w:spacing w:after="0"/>
              <w:rPr>
                <w:sz w:val="20"/>
                <w:szCs w:val="20"/>
                <w:color w:val="auto"/>
              </w:rPr>
            </w:pPr>
            <w:r>
              <w:rPr>
                <w:rFonts w:ascii="Arial" w:cs="Arial" w:eastAsia="Arial" w:hAnsi="Arial"/>
                <w:sz w:val="10"/>
                <w:szCs w:val="10"/>
                <w:color w:val="auto"/>
              </w:rPr>
              <w:t>Individual Medicare Advantage</w:t>
            </w:r>
          </w:p>
        </w:tc>
        <w:tc>
          <w:tcPr>
            <w:tcW w:w="1120" w:type="dxa"/>
            <w:vAlign w:val="bottom"/>
            <w:tcBorders>
              <w:left w:val="single" w:sz="8" w:color="auto"/>
              <w:right w:val="single" w:sz="8" w:color="auto"/>
            </w:tcBorders>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3,838.1</w:t>
            </w:r>
          </w:p>
        </w:tc>
        <w:tc>
          <w:tcPr>
            <w:tcW w:w="80" w:type="dxa"/>
            <w:vAlign w:val="bottom"/>
          </w:tcPr>
          <w:p>
            <w:pPr>
              <w:spacing w:after="0"/>
              <w:rPr>
                <w:sz w:val="10"/>
                <w:szCs w:val="10"/>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453.2</w:t>
            </w:r>
          </w:p>
        </w:tc>
        <w:tc>
          <w:tcPr>
            <w:tcW w:w="920" w:type="dxa"/>
            <w:vAlign w:val="bottom"/>
          </w:tcPr>
          <w:p>
            <w:pPr>
              <w:jc w:val="right"/>
              <w:spacing w:after="0"/>
              <w:rPr>
                <w:sz w:val="20"/>
                <w:szCs w:val="20"/>
                <w:color w:val="auto"/>
              </w:rPr>
            </w:pPr>
            <w:r>
              <w:rPr>
                <w:rFonts w:ascii="Arial" w:cs="Arial" w:eastAsia="Arial" w:hAnsi="Arial"/>
                <w:sz w:val="10"/>
                <w:szCs w:val="10"/>
                <w:color w:val="auto"/>
              </w:rPr>
              <w:t>11.8 %</w:t>
            </w:r>
          </w:p>
        </w:tc>
        <w:tc>
          <w:tcPr>
            <w:tcW w:w="40" w:type="dxa"/>
            <w:vAlign w:val="bottom"/>
          </w:tcPr>
          <w:p>
            <w:pPr>
              <w:spacing w:after="0"/>
              <w:rPr>
                <w:sz w:val="10"/>
                <w:szCs w:val="10"/>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3,962.7</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328.6</w:t>
            </w:r>
          </w:p>
        </w:tc>
        <w:tc>
          <w:tcPr>
            <w:tcW w:w="800" w:type="dxa"/>
            <w:vAlign w:val="bottom"/>
          </w:tcPr>
          <w:p>
            <w:pPr>
              <w:jc w:val="right"/>
              <w:spacing w:after="0"/>
              <w:rPr>
                <w:sz w:val="20"/>
                <w:szCs w:val="20"/>
                <w:color w:val="auto"/>
              </w:rPr>
            </w:pPr>
            <w:r>
              <w:rPr>
                <w:rFonts w:ascii="Arial" w:cs="Arial" w:eastAsia="Arial" w:hAnsi="Arial"/>
                <w:sz w:val="10"/>
                <w:szCs w:val="10"/>
                <w:color w:val="auto"/>
              </w:rPr>
              <w:t>8.3 %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Group Medicare Advantage</w:t>
            </w:r>
          </w:p>
        </w:tc>
        <w:tc>
          <w:tcPr>
            <w:tcW w:w="1120" w:type="dxa"/>
            <w:vAlign w:val="bottom"/>
            <w:tcBorders>
              <w:left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556.7</w:t>
            </w:r>
          </w:p>
        </w:tc>
        <w:tc>
          <w:tcPr>
            <w:tcW w:w="1140" w:type="dxa"/>
            <w:vAlign w:val="bottom"/>
          </w:tcPr>
          <w:p>
            <w:pPr>
              <w:jc w:val="right"/>
              <w:ind w:right="92"/>
              <w:spacing w:after="0"/>
              <w:rPr>
                <w:sz w:val="20"/>
                <w:szCs w:val="20"/>
                <w:color w:val="auto"/>
              </w:rPr>
            </w:pPr>
            <w:r>
              <w:rPr>
                <w:rFonts w:ascii="Arial" w:cs="Arial" w:eastAsia="Arial" w:hAnsi="Arial"/>
                <w:sz w:val="10"/>
                <w:szCs w:val="10"/>
                <w:b w:val="1"/>
                <w:bCs w:val="1"/>
                <w:color w:val="00497F"/>
              </w:rPr>
              <w:t>556.9</w:t>
            </w:r>
          </w:p>
        </w:tc>
        <w:tc>
          <w:tcPr>
            <w:tcW w:w="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607.4</w:t>
            </w:r>
          </w:p>
        </w:tc>
        <w:tc>
          <w:tcPr>
            <w:tcW w:w="80" w:type="dxa"/>
            <w:vAlign w:val="bottom"/>
          </w:tcPr>
          <w:p>
            <w:pPr>
              <w:spacing w:after="0"/>
              <w:rPr>
                <w:sz w:val="10"/>
                <w:szCs w:val="10"/>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(50.7)</w:t>
            </w:r>
          </w:p>
        </w:tc>
        <w:tc>
          <w:tcPr>
            <w:tcW w:w="920" w:type="dxa"/>
            <w:vAlign w:val="bottom"/>
          </w:tcPr>
          <w:p>
            <w:pPr>
              <w:jc w:val="right"/>
              <w:spacing w:after="0"/>
              <w:rPr>
                <w:sz w:val="20"/>
                <w:szCs w:val="20"/>
                <w:color w:val="auto"/>
              </w:rPr>
            </w:pPr>
            <w:r>
              <w:rPr>
                <w:rFonts w:ascii="Arial" w:cs="Arial" w:eastAsia="Arial" w:hAnsi="Arial"/>
                <w:sz w:val="10"/>
                <w:szCs w:val="10"/>
                <w:color w:val="auto"/>
              </w:rPr>
              <w:t>-8.3 %</w:t>
            </w:r>
          </w:p>
        </w:tc>
        <w:tc>
          <w:tcPr>
            <w:tcW w:w="40" w:type="dxa"/>
            <w:vAlign w:val="bottom"/>
          </w:tcPr>
          <w:p>
            <w:pPr>
              <w:spacing w:after="0"/>
              <w:rPr>
                <w:sz w:val="10"/>
                <w:szCs w:val="10"/>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613.2</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(56.5)</w:t>
            </w:r>
          </w:p>
        </w:tc>
        <w:tc>
          <w:tcPr>
            <w:tcW w:w="800" w:type="dxa"/>
            <w:vAlign w:val="bottom"/>
          </w:tcPr>
          <w:p>
            <w:pPr>
              <w:jc w:val="right"/>
              <w:spacing w:after="0"/>
              <w:rPr>
                <w:sz w:val="20"/>
                <w:szCs w:val="20"/>
                <w:color w:val="auto"/>
              </w:rPr>
            </w:pPr>
            <w:r>
              <w:rPr>
                <w:rFonts w:ascii="Arial" w:cs="Arial" w:eastAsia="Arial" w:hAnsi="Arial"/>
                <w:sz w:val="10"/>
                <w:szCs w:val="10"/>
                <w:color w:val="auto"/>
              </w:rPr>
              <w:t>-9.2 %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Medicare stand-alone PDP</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3,666.2</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3,686.8</w:t>
            </w:r>
          </w:p>
        </w:tc>
        <w:tc>
          <w:tcPr>
            <w:tcW w:w="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3,895.1</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(228.9)</w:t>
            </w:r>
          </w:p>
        </w:tc>
        <w:tc>
          <w:tcPr>
            <w:tcW w:w="920" w:type="dxa"/>
            <w:vAlign w:val="bottom"/>
          </w:tcPr>
          <w:p>
            <w:pPr>
              <w:jc w:val="right"/>
              <w:spacing w:after="0"/>
              <w:rPr>
                <w:sz w:val="20"/>
                <w:szCs w:val="20"/>
                <w:color w:val="auto"/>
              </w:rPr>
            </w:pPr>
            <w:r>
              <w:rPr>
                <w:rFonts w:ascii="Arial" w:cs="Arial" w:eastAsia="Arial" w:hAnsi="Arial"/>
                <w:sz w:val="10"/>
                <w:szCs w:val="10"/>
                <w:color w:val="auto"/>
              </w:rPr>
              <w:t>-5.9 %</w:t>
            </w:r>
          </w:p>
        </w:tc>
        <w:tc>
          <w:tcPr>
            <w:tcW w:w="40" w:type="dxa"/>
            <w:vAlign w:val="bottom"/>
          </w:tcPr>
          <w:p>
            <w:pPr>
              <w:spacing w:after="0"/>
              <w:rPr>
                <w:sz w:val="10"/>
                <w:szCs w:val="1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3,866.7</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(200.5)</w:t>
            </w:r>
          </w:p>
        </w:tc>
        <w:tc>
          <w:tcPr>
            <w:tcW w:w="800" w:type="dxa"/>
            <w:vAlign w:val="bottom"/>
          </w:tcPr>
          <w:p>
            <w:pPr>
              <w:jc w:val="right"/>
              <w:spacing w:after="0"/>
              <w:rPr>
                <w:sz w:val="20"/>
                <w:szCs w:val="20"/>
                <w:color w:val="auto"/>
              </w:rPr>
            </w:pPr>
            <w:r>
              <w:rPr>
                <w:rFonts w:ascii="Arial" w:cs="Arial" w:eastAsia="Arial" w:hAnsi="Arial"/>
                <w:sz w:val="10"/>
                <w:szCs w:val="10"/>
                <w:color w:val="auto"/>
              </w:rPr>
              <w:t>-5.2 %</w:t>
            </w:r>
          </w:p>
        </w:tc>
        <w:tc>
          <w:tcPr>
            <w:tcW w:w="0" w:type="dxa"/>
            <w:vAlign w:val="bottom"/>
          </w:tcPr>
          <w:p>
            <w:pPr>
              <w:spacing w:after="0"/>
              <w:rPr>
                <w:sz w:val="1"/>
                <w:szCs w:val="1"/>
                <w:color w:val="auto"/>
              </w:rPr>
            </w:pPr>
          </w:p>
        </w:tc>
      </w:tr>
      <w:tr>
        <w:trPr>
          <w:trHeight w:val="115"/>
        </w:trPr>
        <w:tc>
          <w:tcPr>
            <w:tcW w:w="2680" w:type="dxa"/>
            <w:vAlign w:val="bottom"/>
          </w:tcPr>
          <w:p>
            <w:pPr>
              <w:ind w:left="440"/>
              <w:spacing w:after="0"/>
              <w:rPr>
                <w:sz w:val="20"/>
                <w:szCs w:val="20"/>
                <w:color w:val="auto"/>
              </w:rPr>
            </w:pPr>
            <w:r>
              <w:rPr>
                <w:rFonts w:ascii="Arial" w:cs="Arial" w:eastAsia="Arial" w:hAnsi="Arial"/>
                <w:sz w:val="10"/>
                <w:szCs w:val="10"/>
                <w:color w:val="auto"/>
              </w:rPr>
              <w:t>Total Medicare</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8,514.2</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8,524.4</w:t>
            </w:r>
          </w:p>
        </w:tc>
        <w:tc>
          <w:tcPr>
            <w:tcW w:w="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8,340.6</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173.6</w:t>
            </w:r>
          </w:p>
        </w:tc>
        <w:tc>
          <w:tcPr>
            <w:tcW w:w="920" w:type="dxa"/>
            <w:vAlign w:val="bottom"/>
          </w:tcPr>
          <w:p>
            <w:pPr>
              <w:jc w:val="right"/>
              <w:spacing w:after="0"/>
              <w:rPr>
                <w:sz w:val="20"/>
                <w:szCs w:val="20"/>
                <w:color w:val="auto"/>
              </w:rPr>
            </w:pPr>
            <w:r>
              <w:rPr>
                <w:rFonts w:ascii="Arial" w:cs="Arial" w:eastAsia="Arial" w:hAnsi="Arial"/>
                <w:sz w:val="10"/>
                <w:szCs w:val="10"/>
                <w:color w:val="auto"/>
              </w:rPr>
              <w:t>2.1 %</w:t>
            </w:r>
          </w:p>
        </w:tc>
        <w:tc>
          <w:tcPr>
            <w:tcW w:w="40" w:type="dxa"/>
            <w:vAlign w:val="bottom"/>
          </w:tcPr>
          <w:p>
            <w:pPr>
              <w:spacing w:after="0"/>
              <w:rPr>
                <w:sz w:val="10"/>
                <w:szCs w:val="1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8,442.6</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71.6</w:t>
            </w:r>
          </w:p>
        </w:tc>
        <w:tc>
          <w:tcPr>
            <w:tcW w:w="800" w:type="dxa"/>
            <w:vAlign w:val="bottom"/>
          </w:tcPr>
          <w:p>
            <w:pPr>
              <w:jc w:val="right"/>
              <w:spacing w:after="0"/>
              <w:rPr>
                <w:sz w:val="20"/>
                <w:szCs w:val="20"/>
                <w:color w:val="auto"/>
              </w:rPr>
            </w:pPr>
            <w:r>
              <w:rPr>
                <w:rFonts w:ascii="Arial" w:cs="Arial" w:eastAsia="Arial" w:hAnsi="Arial"/>
                <w:sz w:val="10"/>
                <w:szCs w:val="10"/>
                <w:color w:val="auto"/>
              </w:rPr>
              <w:t>0.8 %</w:t>
            </w:r>
          </w:p>
        </w:tc>
        <w:tc>
          <w:tcPr>
            <w:tcW w:w="0" w:type="dxa"/>
            <w:vAlign w:val="bottom"/>
          </w:tcPr>
          <w:p>
            <w:pPr>
              <w:spacing w:after="0"/>
              <w:rPr>
                <w:sz w:val="1"/>
                <w:szCs w:val="1"/>
                <w:color w:val="auto"/>
              </w:rPr>
            </w:pPr>
          </w:p>
        </w:tc>
      </w:tr>
      <w:tr>
        <w:trPr>
          <w:trHeight w:val="115"/>
        </w:trPr>
        <w:tc>
          <w:tcPr>
            <w:tcW w:w="2680" w:type="dxa"/>
            <w:vAlign w:val="bottom"/>
          </w:tcPr>
          <w:p>
            <w:pPr>
              <w:ind w:left="140"/>
              <w:spacing w:after="0"/>
              <w:rPr>
                <w:sz w:val="20"/>
                <w:szCs w:val="20"/>
                <w:color w:val="auto"/>
              </w:rPr>
            </w:pPr>
            <w:r>
              <w:rPr>
                <w:rFonts w:ascii="Arial" w:cs="Arial" w:eastAsia="Arial" w:hAnsi="Arial"/>
                <w:sz w:val="10"/>
                <w:szCs w:val="10"/>
                <w:color w:val="auto"/>
              </w:rPr>
              <w:t>State-based contracts (E)</w:t>
            </w:r>
          </w:p>
        </w:tc>
        <w:tc>
          <w:tcPr>
            <w:tcW w:w="1120" w:type="dxa"/>
            <w:vAlign w:val="bottom"/>
            <w:tcBorders>
              <w:left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838.9</w:t>
            </w:r>
          </w:p>
        </w:tc>
        <w:tc>
          <w:tcPr>
            <w:tcW w:w="1140" w:type="dxa"/>
            <w:vAlign w:val="bottom"/>
          </w:tcPr>
          <w:p>
            <w:pPr>
              <w:jc w:val="right"/>
              <w:ind w:right="92"/>
              <w:spacing w:after="0"/>
              <w:rPr>
                <w:sz w:val="20"/>
                <w:szCs w:val="20"/>
                <w:color w:val="auto"/>
              </w:rPr>
            </w:pPr>
            <w:r>
              <w:rPr>
                <w:rFonts w:ascii="Arial" w:cs="Arial" w:eastAsia="Arial" w:hAnsi="Arial"/>
                <w:sz w:val="10"/>
                <w:szCs w:val="10"/>
                <w:b w:val="1"/>
                <w:bCs w:val="1"/>
                <w:color w:val="00497F"/>
              </w:rPr>
              <w:t>826.8</w:t>
            </w:r>
          </w:p>
        </w:tc>
        <w:tc>
          <w:tcPr>
            <w:tcW w:w="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617.3</w:t>
            </w:r>
          </w:p>
        </w:tc>
        <w:tc>
          <w:tcPr>
            <w:tcW w:w="80" w:type="dxa"/>
            <w:vAlign w:val="bottom"/>
          </w:tcPr>
          <w:p>
            <w:pPr>
              <w:spacing w:after="0"/>
              <w:rPr>
                <w:sz w:val="10"/>
                <w:szCs w:val="10"/>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221.6</w:t>
            </w:r>
          </w:p>
        </w:tc>
        <w:tc>
          <w:tcPr>
            <w:tcW w:w="920" w:type="dxa"/>
            <w:vAlign w:val="bottom"/>
          </w:tcPr>
          <w:p>
            <w:pPr>
              <w:jc w:val="right"/>
              <w:spacing w:after="0"/>
              <w:rPr>
                <w:sz w:val="20"/>
                <w:szCs w:val="20"/>
                <w:color w:val="auto"/>
              </w:rPr>
            </w:pPr>
            <w:r>
              <w:rPr>
                <w:rFonts w:ascii="Arial" w:cs="Arial" w:eastAsia="Arial" w:hAnsi="Arial"/>
                <w:sz w:val="10"/>
                <w:szCs w:val="10"/>
                <w:color w:val="auto"/>
              </w:rPr>
              <w:t>35.9 %</w:t>
            </w:r>
          </w:p>
        </w:tc>
        <w:tc>
          <w:tcPr>
            <w:tcW w:w="40" w:type="dxa"/>
            <w:vAlign w:val="bottom"/>
          </w:tcPr>
          <w:p>
            <w:pPr>
              <w:spacing w:after="0"/>
              <w:rPr>
                <w:sz w:val="10"/>
                <w:szCs w:val="10"/>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772.4</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66.5</w:t>
            </w:r>
          </w:p>
        </w:tc>
        <w:tc>
          <w:tcPr>
            <w:tcW w:w="800" w:type="dxa"/>
            <w:vAlign w:val="bottom"/>
          </w:tcPr>
          <w:p>
            <w:pPr>
              <w:jc w:val="right"/>
              <w:spacing w:after="0"/>
              <w:rPr>
                <w:sz w:val="20"/>
                <w:szCs w:val="20"/>
                <w:color w:val="auto"/>
              </w:rPr>
            </w:pPr>
            <w:r>
              <w:rPr>
                <w:rFonts w:ascii="Arial" w:cs="Arial" w:eastAsia="Arial" w:hAnsi="Arial"/>
                <w:sz w:val="10"/>
                <w:szCs w:val="10"/>
                <w:color w:val="auto"/>
              </w:rPr>
              <w:t>8.6 %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Medicare Supplement</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328.1</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328.6</w:t>
            </w:r>
          </w:p>
        </w:tc>
        <w:tc>
          <w:tcPr>
            <w:tcW w:w="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314.0</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14.1</w:t>
            </w:r>
          </w:p>
        </w:tc>
        <w:tc>
          <w:tcPr>
            <w:tcW w:w="920" w:type="dxa"/>
            <w:vAlign w:val="bottom"/>
          </w:tcPr>
          <w:p>
            <w:pPr>
              <w:jc w:val="right"/>
              <w:spacing w:after="0"/>
              <w:rPr>
                <w:sz w:val="20"/>
                <w:szCs w:val="20"/>
                <w:color w:val="auto"/>
              </w:rPr>
            </w:pPr>
            <w:r>
              <w:rPr>
                <w:rFonts w:ascii="Arial" w:cs="Arial" w:eastAsia="Arial" w:hAnsi="Arial"/>
                <w:sz w:val="10"/>
                <w:szCs w:val="10"/>
                <w:color w:val="auto"/>
              </w:rPr>
              <w:t>4.5 %</w:t>
            </w:r>
          </w:p>
        </w:tc>
        <w:tc>
          <w:tcPr>
            <w:tcW w:w="40" w:type="dxa"/>
            <w:vAlign w:val="bottom"/>
          </w:tcPr>
          <w:p>
            <w:pPr>
              <w:spacing w:after="0"/>
              <w:rPr>
                <w:sz w:val="10"/>
                <w:szCs w:val="1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335.6</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w:t>
            </w:r>
          </w:p>
        </w:tc>
        <w:tc>
          <w:tcPr>
            <w:tcW w:w="800" w:type="dxa"/>
            <w:vAlign w:val="bottom"/>
          </w:tcPr>
          <w:p>
            <w:pPr>
              <w:jc w:val="right"/>
              <w:spacing w:after="0"/>
              <w:rPr>
                <w:sz w:val="20"/>
                <w:szCs w:val="20"/>
                <w:color w:val="auto"/>
              </w:rPr>
            </w:pPr>
            <w:r>
              <w:rPr>
                <w:rFonts w:ascii="Arial" w:cs="Arial" w:eastAsia="Arial" w:hAnsi="Arial"/>
                <w:sz w:val="10"/>
                <w:szCs w:val="10"/>
                <w:color w:val="auto"/>
              </w:rPr>
              <w:t>-2.2 %</w:t>
            </w:r>
          </w:p>
        </w:tc>
        <w:tc>
          <w:tcPr>
            <w:tcW w:w="0" w:type="dxa"/>
            <w:vAlign w:val="bottom"/>
          </w:tcPr>
          <w:p>
            <w:pPr>
              <w:spacing w:after="0"/>
              <w:rPr>
                <w:sz w:val="1"/>
                <w:szCs w:val="1"/>
                <w:color w:val="auto"/>
              </w:rPr>
            </w:pPr>
          </w:p>
        </w:tc>
      </w:tr>
      <w:tr>
        <w:trPr>
          <w:trHeight w:val="135"/>
        </w:trPr>
        <w:tc>
          <w:tcPr>
            <w:tcW w:w="2680" w:type="dxa"/>
            <w:vAlign w:val="bottom"/>
          </w:tcPr>
          <w:p>
            <w:pPr>
              <w:ind w:left="360"/>
              <w:spacing w:after="0" w:line="107" w:lineRule="exact"/>
              <w:rPr>
                <w:sz w:val="20"/>
                <w:szCs w:val="20"/>
                <w:color w:val="auto"/>
              </w:rPr>
            </w:pPr>
            <w:r>
              <w:rPr>
                <w:rFonts w:ascii="Arial" w:cs="Arial" w:eastAsia="Arial" w:hAnsi="Arial"/>
                <w:sz w:val="10"/>
                <w:szCs w:val="10"/>
                <w:b w:val="1"/>
                <w:bCs w:val="1"/>
                <w:color w:val="auto"/>
              </w:rPr>
              <w:t>Total Retail</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9,681.2</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9,679.8</w:t>
            </w:r>
          </w:p>
        </w:tc>
        <w:tc>
          <w:tcPr>
            <w:tcW w:w="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9,271.9</w:t>
            </w:r>
          </w:p>
        </w:tc>
        <w:tc>
          <w:tcPr>
            <w:tcW w:w="80" w:type="dxa"/>
            <w:vAlign w:val="bottom"/>
          </w:tcPr>
          <w:p>
            <w:pPr>
              <w:spacing w:after="0"/>
              <w:rPr>
                <w:sz w:val="11"/>
                <w:szCs w:val="11"/>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409.3</w:t>
            </w:r>
          </w:p>
        </w:tc>
        <w:tc>
          <w:tcPr>
            <w:tcW w:w="920" w:type="dxa"/>
            <w:vAlign w:val="bottom"/>
          </w:tcPr>
          <w:p>
            <w:pPr>
              <w:jc w:val="right"/>
              <w:spacing w:after="0"/>
              <w:rPr>
                <w:sz w:val="20"/>
                <w:szCs w:val="20"/>
                <w:color w:val="auto"/>
              </w:rPr>
            </w:pPr>
            <w:r>
              <w:rPr>
                <w:rFonts w:ascii="Arial" w:cs="Arial" w:eastAsia="Arial" w:hAnsi="Arial"/>
                <w:sz w:val="10"/>
                <w:szCs w:val="10"/>
                <w:color w:val="auto"/>
              </w:rPr>
              <w:t>4.4 %</w:t>
            </w:r>
          </w:p>
        </w:tc>
        <w:tc>
          <w:tcPr>
            <w:tcW w:w="40" w:type="dxa"/>
            <w:vAlign w:val="bottom"/>
          </w:tcPr>
          <w:p>
            <w:pPr>
              <w:spacing w:after="0"/>
              <w:rPr>
                <w:sz w:val="11"/>
                <w:szCs w:val="1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9,550.6</w:t>
            </w:r>
          </w:p>
        </w:tc>
        <w:tc>
          <w:tcPr>
            <w:tcW w:w="8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130.6</w:t>
            </w:r>
          </w:p>
        </w:tc>
        <w:tc>
          <w:tcPr>
            <w:tcW w:w="800" w:type="dxa"/>
            <w:vAlign w:val="bottom"/>
          </w:tcPr>
          <w:p>
            <w:pPr>
              <w:jc w:val="right"/>
              <w:spacing w:after="0"/>
              <w:rPr>
                <w:sz w:val="20"/>
                <w:szCs w:val="20"/>
                <w:color w:val="auto"/>
              </w:rPr>
            </w:pPr>
            <w:r>
              <w:rPr>
                <w:rFonts w:ascii="Arial" w:cs="Arial" w:eastAsia="Arial" w:hAnsi="Arial"/>
                <w:sz w:val="10"/>
                <w:szCs w:val="10"/>
                <w:color w:val="auto"/>
              </w:rPr>
              <w:t>1.4 %</w:t>
            </w:r>
          </w:p>
        </w:tc>
        <w:tc>
          <w:tcPr>
            <w:tcW w:w="0" w:type="dxa"/>
            <w:vAlign w:val="bottom"/>
          </w:tcPr>
          <w:p>
            <w:pPr>
              <w:spacing w:after="0"/>
              <w:rPr>
                <w:sz w:val="1"/>
                <w:szCs w:val="1"/>
                <w:color w:val="auto"/>
              </w:rPr>
            </w:pPr>
          </w:p>
        </w:tc>
      </w:tr>
      <w:tr>
        <w:trPr>
          <w:trHeight w:val="87"/>
        </w:trPr>
        <w:tc>
          <w:tcPr>
            <w:tcW w:w="2680" w:type="dxa"/>
            <w:vAlign w:val="bottom"/>
          </w:tcPr>
          <w:p>
            <w:pPr>
              <w:spacing w:after="0" w:line="87" w:lineRule="exact"/>
              <w:rPr>
                <w:sz w:val="20"/>
                <w:szCs w:val="20"/>
                <w:color w:val="auto"/>
              </w:rPr>
            </w:pPr>
            <w:r>
              <w:rPr>
                <w:rFonts w:ascii="Arial" w:cs="Arial" w:eastAsia="Arial" w:hAnsi="Arial"/>
                <w:sz w:val="10"/>
                <w:szCs w:val="10"/>
                <w:b w:val="1"/>
                <w:bCs w:val="1"/>
                <w:color w:val="auto"/>
              </w:rPr>
              <w:t>Group and Specialty</w:t>
            </w:r>
          </w:p>
        </w:tc>
        <w:tc>
          <w:tcPr>
            <w:tcW w:w="1120" w:type="dxa"/>
            <w:vAlign w:val="bottom"/>
            <w:tcBorders>
              <w:left w:val="single" w:sz="8" w:color="auto"/>
              <w:right w:val="single" w:sz="8" w:color="auto"/>
            </w:tcBorders>
            <w:gridSpan w:val="2"/>
            <w:vMerge w:val="restart"/>
          </w:tcPr>
          <w:p>
            <w:pPr>
              <w:jc w:val="right"/>
              <w:ind w:right="60"/>
              <w:spacing w:after="0"/>
              <w:rPr>
                <w:sz w:val="20"/>
                <w:szCs w:val="20"/>
                <w:color w:val="auto"/>
              </w:rPr>
            </w:pPr>
            <w:r>
              <w:rPr>
                <w:rFonts w:ascii="Arial" w:cs="Arial" w:eastAsia="Arial" w:hAnsi="Arial"/>
                <w:sz w:val="10"/>
                <w:szCs w:val="10"/>
                <w:b w:val="1"/>
                <w:bCs w:val="1"/>
                <w:color w:val="00497F"/>
              </w:rPr>
              <w:t>721.3</w:t>
            </w:r>
          </w:p>
        </w:tc>
        <w:tc>
          <w:tcPr>
            <w:tcW w:w="114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00497F"/>
              </w:rPr>
              <w:t>726.8</w:t>
            </w: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680" w:type="dxa"/>
            <w:vAlign w:val="bottom"/>
          </w:tcPr>
          <w:p>
            <w:pPr>
              <w:ind w:left="140"/>
              <w:spacing w:after="0"/>
              <w:rPr>
                <w:sz w:val="20"/>
                <w:szCs w:val="20"/>
                <w:color w:val="auto"/>
              </w:rPr>
            </w:pPr>
            <w:r>
              <w:rPr>
                <w:rFonts w:ascii="Arial" w:cs="Arial" w:eastAsia="Arial" w:hAnsi="Arial"/>
                <w:sz w:val="10"/>
                <w:szCs w:val="10"/>
                <w:color w:val="auto"/>
              </w:rPr>
              <w:t>Fully-insured commercial medical</w:t>
            </w:r>
          </w:p>
        </w:tc>
        <w:tc>
          <w:tcPr>
            <w:tcW w:w="1120" w:type="dxa"/>
            <w:vAlign w:val="bottom"/>
            <w:tcBorders>
              <w:left w:val="single" w:sz="8" w:color="auto"/>
              <w:right w:val="single" w:sz="8" w:color="auto"/>
            </w:tcBorders>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861.6</w:t>
            </w:r>
          </w:p>
        </w:tc>
        <w:tc>
          <w:tcPr>
            <w:tcW w:w="80" w:type="dxa"/>
            <w:vAlign w:val="bottom"/>
          </w:tcPr>
          <w:p>
            <w:pPr>
              <w:spacing w:after="0"/>
              <w:rPr>
                <w:sz w:val="10"/>
                <w:szCs w:val="10"/>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(140.3)</w:t>
            </w:r>
          </w:p>
        </w:tc>
        <w:tc>
          <w:tcPr>
            <w:tcW w:w="920" w:type="dxa"/>
            <w:vAlign w:val="bottom"/>
          </w:tcPr>
          <w:p>
            <w:pPr>
              <w:jc w:val="right"/>
              <w:spacing w:after="0"/>
              <w:rPr>
                <w:sz w:val="20"/>
                <w:szCs w:val="20"/>
                <w:color w:val="auto"/>
              </w:rPr>
            </w:pPr>
            <w:r>
              <w:rPr>
                <w:rFonts w:ascii="Arial" w:cs="Arial" w:eastAsia="Arial" w:hAnsi="Arial"/>
                <w:sz w:val="10"/>
                <w:szCs w:val="10"/>
                <w:color w:val="auto"/>
              </w:rPr>
              <w:t>-16.3 %</w:t>
            </w:r>
          </w:p>
        </w:tc>
        <w:tc>
          <w:tcPr>
            <w:tcW w:w="40" w:type="dxa"/>
            <w:vAlign w:val="bottom"/>
          </w:tcPr>
          <w:p>
            <w:pPr>
              <w:spacing w:after="0"/>
              <w:rPr>
                <w:sz w:val="10"/>
                <w:szCs w:val="10"/>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777.4</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(56.1)</w:t>
            </w:r>
          </w:p>
        </w:tc>
        <w:tc>
          <w:tcPr>
            <w:tcW w:w="800" w:type="dxa"/>
            <w:vAlign w:val="bottom"/>
          </w:tcPr>
          <w:p>
            <w:pPr>
              <w:jc w:val="right"/>
              <w:spacing w:after="0"/>
              <w:rPr>
                <w:sz w:val="20"/>
                <w:szCs w:val="20"/>
                <w:color w:val="auto"/>
              </w:rPr>
            </w:pPr>
            <w:r>
              <w:rPr>
                <w:rFonts w:ascii="Arial" w:cs="Arial" w:eastAsia="Arial" w:hAnsi="Arial"/>
                <w:sz w:val="10"/>
                <w:szCs w:val="10"/>
                <w:color w:val="auto"/>
              </w:rPr>
              <w:t>-7.2 %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ASO commercial</w:t>
            </w:r>
          </w:p>
        </w:tc>
        <w:tc>
          <w:tcPr>
            <w:tcW w:w="1120" w:type="dxa"/>
            <w:vAlign w:val="bottom"/>
            <w:tcBorders>
              <w:left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500.6</w:t>
            </w:r>
          </w:p>
        </w:tc>
        <w:tc>
          <w:tcPr>
            <w:tcW w:w="1140" w:type="dxa"/>
            <w:vAlign w:val="bottom"/>
          </w:tcPr>
          <w:p>
            <w:pPr>
              <w:jc w:val="right"/>
              <w:ind w:right="92"/>
              <w:spacing w:after="0"/>
              <w:rPr>
                <w:sz w:val="20"/>
                <w:szCs w:val="20"/>
                <w:color w:val="auto"/>
              </w:rPr>
            </w:pPr>
            <w:r>
              <w:rPr>
                <w:rFonts w:ascii="Arial" w:cs="Arial" w:eastAsia="Arial" w:hAnsi="Arial"/>
                <w:sz w:val="10"/>
                <w:szCs w:val="10"/>
                <w:b w:val="1"/>
                <w:bCs w:val="1"/>
                <w:color w:val="00497F"/>
              </w:rPr>
              <w:t>504.4</w:t>
            </w:r>
          </w:p>
        </w:tc>
        <w:tc>
          <w:tcPr>
            <w:tcW w:w="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506.1</w:t>
            </w:r>
          </w:p>
        </w:tc>
        <w:tc>
          <w:tcPr>
            <w:tcW w:w="80" w:type="dxa"/>
            <w:vAlign w:val="bottom"/>
          </w:tcPr>
          <w:p>
            <w:pPr>
              <w:spacing w:after="0"/>
              <w:rPr>
                <w:sz w:val="10"/>
                <w:szCs w:val="10"/>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(5.5)</w:t>
            </w:r>
          </w:p>
        </w:tc>
        <w:tc>
          <w:tcPr>
            <w:tcW w:w="920" w:type="dxa"/>
            <w:vAlign w:val="bottom"/>
          </w:tcPr>
          <w:p>
            <w:pPr>
              <w:jc w:val="right"/>
              <w:spacing w:after="0"/>
              <w:rPr>
                <w:sz w:val="20"/>
                <w:szCs w:val="20"/>
                <w:color w:val="auto"/>
              </w:rPr>
            </w:pPr>
            <w:r>
              <w:rPr>
                <w:rFonts w:ascii="Arial" w:cs="Arial" w:eastAsia="Arial" w:hAnsi="Arial"/>
                <w:sz w:val="10"/>
                <w:szCs w:val="10"/>
                <w:color w:val="auto"/>
              </w:rPr>
              <w:t>-1.1 %</w:t>
            </w:r>
          </w:p>
        </w:tc>
        <w:tc>
          <w:tcPr>
            <w:tcW w:w="40" w:type="dxa"/>
            <w:vAlign w:val="bottom"/>
          </w:tcPr>
          <w:p>
            <w:pPr>
              <w:spacing w:after="0"/>
              <w:rPr>
                <w:sz w:val="10"/>
                <w:szCs w:val="10"/>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504.9</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(4.3)</w:t>
            </w:r>
          </w:p>
        </w:tc>
        <w:tc>
          <w:tcPr>
            <w:tcW w:w="800" w:type="dxa"/>
            <w:vAlign w:val="bottom"/>
          </w:tcPr>
          <w:p>
            <w:pPr>
              <w:jc w:val="right"/>
              <w:spacing w:after="0"/>
              <w:rPr>
                <w:sz w:val="20"/>
                <w:szCs w:val="20"/>
                <w:color w:val="auto"/>
              </w:rPr>
            </w:pPr>
            <w:r>
              <w:rPr>
                <w:rFonts w:ascii="Arial" w:cs="Arial" w:eastAsia="Arial" w:hAnsi="Arial"/>
                <w:sz w:val="10"/>
                <w:szCs w:val="10"/>
                <w:color w:val="auto"/>
              </w:rPr>
              <w:t>-0.9 %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Military services</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6,047.4</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6,034.3</w:t>
            </w:r>
          </w:p>
        </w:tc>
        <w:tc>
          <w:tcPr>
            <w:tcW w:w="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5,999.2</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48.2</w:t>
            </w:r>
          </w:p>
        </w:tc>
        <w:tc>
          <w:tcPr>
            <w:tcW w:w="920" w:type="dxa"/>
            <w:vAlign w:val="bottom"/>
          </w:tcPr>
          <w:p>
            <w:pPr>
              <w:jc w:val="right"/>
              <w:spacing w:after="0"/>
              <w:rPr>
                <w:sz w:val="20"/>
                <w:szCs w:val="20"/>
                <w:color w:val="auto"/>
              </w:rPr>
            </w:pPr>
            <w:r>
              <w:rPr>
                <w:rFonts w:ascii="Arial" w:cs="Arial" w:eastAsia="Arial" w:hAnsi="Arial"/>
                <w:sz w:val="10"/>
                <w:szCs w:val="10"/>
                <w:color w:val="auto"/>
              </w:rPr>
              <w:t>0.8 %</w:t>
            </w:r>
          </w:p>
        </w:tc>
        <w:tc>
          <w:tcPr>
            <w:tcW w:w="40" w:type="dxa"/>
            <w:vAlign w:val="bottom"/>
          </w:tcPr>
          <w:p>
            <w:pPr>
              <w:spacing w:after="0"/>
              <w:rPr>
                <w:sz w:val="10"/>
                <w:szCs w:val="1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5,998.7</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48.7</w:t>
            </w:r>
          </w:p>
        </w:tc>
        <w:tc>
          <w:tcPr>
            <w:tcW w:w="800" w:type="dxa"/>
            <w:vAlign w:val="bottom"/>
          </w:tcPr>
          <w:p>
            <w:pPr>
              <w:jc w:val="right"/>
              <w:spacing w:after="0"/>
              <w:rPr>
                <w:sz w:val="20"/>
                <w:szCs w:val="20"/>
                <w:color w:val="auto"/>
              </w:rPr>
            </w:pPr>
            <w:r>
              <w:rPr>
                <w:rFonts w:ascii="Arial" w:cs="Arial" w:eastAsia="Arial" w:hAnsi="Arial"/>
                <w:sz w:val="10"/>
                <w:szCs w:val="10"/>
                <w:color w:val="auto"/>
              </w:rPr>
              <w:t>0.8 %</w:t>
            </w:r>
          </w:p>
        </w:tc>
        <w:tc>
          <w:tcPr>
            <w:tcW w:w="0" w:type="dxa"/>
            <w:vAlign w:val="bottom"/>
          </w:tcPr>
          <w:p>
            <w:pPr>
              <w:spacing w:after="0"/>
              <w:rPr>
                <w:sz w:val="1"/>
                <w:szCs w:val="1"/>
                <w:color w:val="auto"/>
              </w:rPr>
            </w:pPr>
          </w:p>
        </w:tc>
      </w:tr>
      <w:tr>
        <w:trPr>
          <w:trHeight w:val="115"/>
        </w:trPr>
        <w:tc>
          <w:tcPr>
            <w:tcW w:w="2680" w:type="dxa"/>
            <w:vAlign w:val="bottom"/>
          </w:tcPr>
          <w:p>
            <w:pPr>
              <w:ind w:left="360"/>
              <w:spacing w:after="0" w:line="107" w:lineRule="exact"/>
              <w:rPr>
                <w:sz w:val="20"/>
                <w:szCs w:val="20"/>
                <w:color w:val="auto"/>
              </w:rPr>
            </w:pPr>
            <w:r>
              <w:rPr>
                <w:rFonts w:ascii="Arial" w:cs="Arial" w:eastAsia="Arial" w:hAnsi="Arial"/>
                <w:sz w:val="10"/>
                <w:szCs w:val="10"/>
                <w:b w:val="1"/>
                <w:bCs w:val="1"/>
                <w:color w:val="auto"/>
              </w:rPr>
              <w:t>Total Group and Specialty</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7,269.3</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7,265.5</w:t>
            </w:r>
          </w:p>
        </w:tc>
        <w:tc>
          <w:tcPr>
            <w:tcW w:w="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7,366.9</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(97.6)</w:t>
            </w:r>
          </w:p>
        </w:tc>
        <w:tc>
          <w:tcPr>
            <w:tcW w:w="920" w:type="dxa"/>
            <w:vAlign w:val="bottom"/>
          </w:tcPr>
          <w:p>
            <w:pPr>
              <w:jc w:val="right"/>
              <w:spacing w:after="0"/>
              <w:rPr>
                <w:sz w:val="20"/>
                <w:szCs w:val="20"/>
                <w:color w:val="auto"/>
              </w:rPr>
            </w:pPr>
            <w:r>
              <w:rPr>
                <w:rFonts w:ascii="Arial" w:cs="Arial" w:eastAsia="Arial" w:hAnsi="Arial"/>
                <w:sz w:val="10"/>
                <w:szCs w:val="10"/>
                <w:color w:val="auto"/>
              </w:rPr>
              <w:t>-1.3 %</w:t>
            </w:r>
          </w:p>
        </w:tc>
        <w:tc>
          <w:tcPr>
            <w:tcW w:w="40" w:type="dxa"/>
            <w:vAlign w:val="bottom"/>
          </w:tcPr>
          <w:p>
            <w:pPr>
              <w:spacing w:after="0"/>
              <w:rPr>
                <w:sz w:val="10"/>
                <w:szCs w:val="1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7,281.0</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(11.7)</w:t>
            </w:r>
          </w:p>
        </w:tc>
        <w:tc>
          <w:tcPr>
            <w:tcW w:w="800" w:type="dxa"/>
            <w:vAlign w:val="bottom"/>
          </w:tcPr>
          <w:p>
            <w:pPr>
              <w:jc w:val="right"/>
              <w:spacing w:after="0"/>
              <w:rPr>
                <w:sz w:val="20"/>
                <w:szCs w:val="20"/>
                <w:color w:val="auto"/>
              </w:rPr>
            </w:pPr>
            <w:r>
              <w:rPr>
                <w:rFonts w:ascii="Arial" w:cs="Arial" w:eastAsia="Arial" w:hAnsi="Arial"/>
                <w:sz w:val="10"/>
                <w:szCs w:val="10"/>
                <w:color w:val="auto"/>
              </w:rPr>
              <w:t>-0.2 %</w:t>
            </w:r>
          </w:p>
        </w:tc>
        <w:tc>
          <w:tcPr>
            <w:tcW w:w="0" w:type="dxa"/>
            <w:vAlign w:val="bottom"/>
          </w:tcPr>
          <w:p>
            <w:pPr>
              <w:spacing w:after="0"/>
              <w:rPr>
                <w:sz w:val="1"/>
                <w:szCs w:val="1"/>
                <w:color w:val="auto"/>
              </w:rPr>
            </w:pPr>
          </w:p>
        </w:tc>
      </w:tr>
      <w:tr>
        <w:trPr>
          <w:trHeight w:val="115"/>
        </w:trPr>
        <w:tc>
          <w:tcPr>
            <w:tcW w:w="2680" w:type="dxa"/>
            <w:vAlign w:val="bottom"/>
          </w:tcPr>
          <w:p>
            <w:pPr>
              <w:spacing w:after="0"/>
              <w:rPr>
                <w:sz w:val="20"/>
                <w:szCs w:val="20"/>
                <w:color w:val="auto"/>
              </w:rPr>
            </w:pPr>
            <w:r>
              <w:rPr>
                <w:rFonts w:ascii="Arial" w:cs="Arial" w:eastAsia="Arial" w:hAnsi="Arial"/>
                <w:sz w:val="10"/>
                <w:szCs w:val="10"/>
                <w:b w:val="1"/>
                <w:bCs w:val="1"/>
                <w:color w:val="auto"/>
              </w:rPr>
              <w:t>Total Medical Membership</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16,950.5</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16,945.3</w:t>
            </w:r>
          </w:p>
        </w:tc>
        <w:tc>
          <w:tcPr>
            <w:tcW w:w="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16,638.8</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311.7</w:t>
            </w:r>
          </w:p>
        </w:tc>
        <w:tc>
          <w:tcPr>
            <w:tcW w:w="920" w:type="dxa"/>
            <w:vAlign w:val="bottom"/>
          </w:tcPr>
          <w:p>
            <w:pPr>
              <w:jc w:val="right"/>
              <w:spacing w:after="0"/>
              <w:rPr>
                <w:sz w:val="20"/>
                <w:szCs w:val="20"/>
                <w:color w:val="auto"/>
              </w:rPr>
            </w:pPr>
            <w:r>
              <w:rPr>
                <w:rFonts w:ascii="Arial" w:cs="Arial" w:eastAsia="Arial" w:hAnsi="Arial"/>
                <w:sz w:val="10"/>
                <w:szCs w:val="10"/>
                <w:color w:val="auto"/>
              </w:rPr>
              <w:t>1.9 %</w:t>
            </w:r>
          </w:p>
        </w:tc>
        <w:tc>
          <w:tcPr>
            <w:tcW w:w="40" w:type="dxa"/>
            <w:vAlign w:val="bottom"/>
          </w:tcPr>
          <w:p>
            <w:pPr>
              <w:spacing w:after="0"/>
              <w:rPr>
                <w:sz w:val="10"/>
                <w:szCs w:val="1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16,831.6</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118.9</w:t>
            </w:r>
          </w:p>
        </w:tc>
        <w:tc>
          <w:tcPr>
            <w:tcW w:w="800" w:type="dxa"/>
            <w:vAlign w:val="bottom"/>
          </w:tcPr>
          <w:p>
            <w:pPr>
              <w:jc w:val="right"/>
              <w:spacing w:after="0"/>
              <w:rPr>
                <w:sz w:val="20"/>
                <w:szCs w:val="20"/>
                <w:color w:val="auto"/>
              </w:rPr>
            </w:pPr>
            <w:r>
              <w:rPr>
                <w:rFonts w:ascii="Arial" w:cs="Arial" w:eastAsia="Arial" w:hAnsi="Arial"/>
                <w:sz w:val="10"/>
                <w:szCs w:val="10"/>
                <w:color w:val="auto"/>
              </w:rPr>
              <w:t>0.7 %</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0"/>
                <w:szCs w:val="10"/>
                <w:b w:val="1"/>
                <w:bCs w:val="1"/>
                <w:color w:val="auto"/>
                <w:w w:val="99"/>
              </w:rPr>
              <w:t>Specialty Membership (included in Group and Specialty</w:t>
            </w: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80" w:type="dxa"/>
            <w:vAlign w:val="bottom"/>
            <w:vMerge w:val="continue"/>
          </w:tcPr>
          <w:p>
            <w:pPr>
              <w:spacing w:after="0"/>
              <w:rPr>
                <w:sz w:val="11"/>
                <w:szCs w:val="11"/>
                <w:color w:val="auto"/>
              </w:rPr>
            </w:pPr>
          </w:p>
        </w:tc>
        <w:tc>
          <w:tcPr>
            <w:tcW w:w="1060" w:type="dxa"/>
            <w:vAlign w:val="bottom"/>
            <w:tcBorders>
              <w:left w:val="single" w:sz="8" w:color="auto"/>
            </w:tcBorders>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80" w:type="dxa"/>
            <w:vAlign w:val="bottom"/>
          </w:tcPr>
          <w:p>
            <w:pPr>
              <w:spacing w:after="0"/>
              <w:rPr>
                <w:sz w:val="20"/>
                <w:szCs w:val="20"/>
                <w:color w:val="auto"/>
              </w:rPr>
            </w:pPr>
            <w:r>
              <w:rPr>
                <w:rFonts w:ascii="Arial" w:cs="Arial" w:eastAsia="Arial" w:hAnsi="Arial"/>
                <w:sz w:val="10"/>
                <w:szCs w:val="10"/>
                <w:b w:val="1"/>
                <w:bCs w:val="1"/>
                <w:color w:val="auto"/>
              </w:rPr>
              <w:t>segment):</w:t>
            </w:r>
          </w:p>
        </w:tc>
        <w:tc>
          <w:tcPr>
            <w:tcW w:w="1120" w:type="dxa"/>
            <w:vAlign w:val="bottom"/>
            <w:tcBorders>
              <w:left w:val="single" w:sz="8" w:color="auto"/>
              <w:right w:val="single" w:sz="8" w:color="auto"/>
            </w:tcBorders>
            <w:gridSpan w:val="2"/>
            <w:vMerge w:val="restart"/>
          </w:tcPr>
          <w:p>
            <w:pPr>
              <w:jc w:val="right"/>
              <w:ind w:right="60"/>
              <w:spacing w:after="0"/>
              <w:rPr>
                <w:sz w:val="20"/>
                <w:szCs w:val="20"/>
                <w:color w:val="auto"/>
              </w:rPr>
            </w:pPr>
            <w:r>
              <w:rPr>
                <w:rFonts w:ascii="Arial" w:cs="Arial" w:eastAsia="Arial" w:hAnsi="Arial"/>
                <w:sz w:val="10"/>
                <w:szCs w:val="10"/>
                <w:b w:val="1"/>
                <w:bCs w:val="1"/>
                <w:color w:val="00497F"/>
              </w:rPr>
              <w:t>2,582.9</w:t>
            </w:r>
          </w:p>
        </w:tc>
        <w:tc>
          <w:tcPr>
            <w:tcW w:w="1140" w:type="dxa"/>
            <w:vAlign w:val="bottom"/>
            <w:vMerge w:val="restart"/>
          </w:tcPr>
          <w:p>
            <w:pPr>
              <w:jc w:val="right"/>
              <w:ind w:right="92"/>
              <w:spacing w:after="0"/>
              <w:rPr>
                <w:sz w:val="20"/>
                <w:szCs w:val="20"/>
                <w:color w:val="auto"/>
              </w:rPr>
            </w:pPr>
            <w:r>
              <w:rPr>
                <w:rFonts w:ascii="Arial" w:cs="Arial" w:eastAsia="Arial" w:hAnsi="Arial"/>
                <w:sz w:val="10"/>
                <w:szCs w:val="10"/>
                <w:b w:val="1"/>
                <w:bCs w:val="1"/>
                <w:color w:val="00497F"/>
              </w:rPr>
              <w:t>2,585.9</w:t>
            </w:r>
          </w:p>
        </w:tc>
        <w:tc>
          <w:tcPr>
            <w:tcW w:w="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680" w:type="dxa"/>
            <w:vAlign w:val="bottom"/>
          </w:tcPr>
          <w:p>
            <w:pPr>
              <w:ind w:left="140"/>
              <w:spacing w:after="0"/>
              <w:rPr>
                <w:sz w:val="20"/>
                <w:szCs w:val="20"/>
                <w:color w:val="auto"/>
              </w:rPr>
            </w:pPr>
            <w:r>
              <w:rPr>
                <w:rFonts w:ascii="Arial" w:cs="Arial" w:eastAsia="Arial" w:hAnsi="Arial"/>
                <w:sz w:val="10"/>
                <w:szCs w:val="10"/>
                <w:color w:val="auto"/>
              </w:rPr>
              <w:t>Dental—fully-insured (F)</w:t>
            </w:r>
          </w:p>
        </w:tc>
        <w:tc>
          <w:tcPr>
            <w:tcW w:w="1120" w:type="dxa"/>
            <w:vAlign w:val="bottom"/>
            <w:tcBorders>
              <w:left w:val="single" w:sz="8" w:color="auto"/>
              <w:right w:val="single" w:sz="8" w:color="auto"/>
            </w:tcBorders>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2,689.1</w:t>
            </w:r>
          </w:p>
        </w:tc>
        <w:tc>
          <w:tcPr>
            <w:tcW w:w="80" w:type="dxa"/>
            <w:vAlign w:val="bottom"/>
          </w:tcPr>
          <w:p>
            <w:pPr>
              <w:spacing w:after="0"/>
              <w:rPr>
                <w:sz w:val="10"/>
                <w:szCs w:val="10"/>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(106.2)</w:t>
            </w:r>
          </w:p>
        </w:tc>
        <w:tc>
          <w:tcPr>
            <w:tcW w:w="920" w:type="dxa"/>
            <w:vAlign w:val="bottom"/>
          </w:tcPr>
          <w:p>
            <w:pPr>
              <w:jc w:val="right"/>
              <w:spacing w:after="0"/>
              <w:rPr>
                <w:sz w:val="20"/>
                <w:szCs w:val="20"/>
                <w:color w:val="auto"/>
              </w:rPr>
            </w:pPr>
            <w:r>
              <w:rPr>
                <w:rFonts w:ascii="Arial" w:cs="Arial" w:eastAsia="Arial" w:hAnsi="Arial"/>
                <w:sz w:val="10"/>
                <w:szCs w:val="10"/>
                <w:color w:val="auto"/>
              </w:rPr>
              <w:t>-3.9 %</w:t>
            </w:r>
          </w:p>
        </w:tc>
        <w:tc>
          <w:tcPr>
            <w:tcW w:w="40" w:type="dxa"/>
            <w:vAlign w:val="bottom"/>
          </w:tcPr>
          <w:p>
            <w:pPr>
              <w:spacing w:after="0"/>
              <w:rPr>
                <w:sz w:val="10"/>
                <w:szCs w:val="10"/>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2,617.6</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(34.7)</w:t>
            </w:r>
          </w:p>
        </w:tc>
        <w:tc>
          <w:tcPr>
            <w:tcW w:w="800" w:type="dxa"/>
            <w:vAlign w:val="bottom"/>
          </w:tcPr>
          <w:p>
            <w:pPr>
              <w:jc w:val="right"/>
              <w:spacing w:after="0"/>
              <w:rPr>
                <w:sz w:val="20"/>
                <w:szCs w:val="20"/>
                <w:color w:val="auto"/>
              </w:rPr>
            </w:pPr>
            <w:r>
              <w:rPr>
                <w:rFonts w:ascii="Arial" w:cs="Arial" w:eastAsia="Arial" w:hAnsi="Arial"/>
                <w:sz w:val="10"/>
                <w:szCs w:val="10"/>
                <w:color w:val="auto"/>
              </w:rPr>
              <w:t>-1.3 %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Dental—ASO</w:t>
            </w:r>
          </w:p>
        </w:tc>
        <w:tc>
          <w:tcPr>
            <w:tcW w:w="1120" w:type="dxa"/>
            <w:vAlign w:val="bottom"/>
            <w:tcBorders>
              <w:left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276.6</w:t>
            </w:r>
          </w:p>
        </w:tc>
        <w:tc>
          <w:tcPr>
            <w:tcW w:w="1140" w:type="dxa"/>
            <w:vAlign w:val="bottom"/>
          </w:tcPr>
          <w:p>
            <w:pPr>
              <w:jc w:val="right"/>
              <w:ind w:right="92"/>
              <w:spacing w:after="0"/>
              <w:rPr>
                <w:sz w:val="20"/>
                <w:szCs w:val="20"/>
                <w:color w:val="auto"/>
              </w:rPr>
            </w:pPr>
            <w:r>
              <w:rPr>
                <w:rFonts w:ascii="Arial" w:cs="Arial" w:eastAsia="Arial" w:hAnsi="Arial"/>
                <w:sz w:val="10"/>
                <w:szCs w:val="10"/>
                <w:b w:val="1"/>
                <w:bCs w:val="1"/>
                <w:color w:val="00497F"/>
              </w:rPr>
              <w:t>279.5</w:t>
            </w:r>
          </w:p>
        </w:tc>
        <w:tc>
          <w:tcPr>
            <w:tcW w:w="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287.3</w:t>
            </w:r>
          </w:p>
        </w:tc>
        <w:tc>
          <w:tcPr>
            <w:tcW w:w="80" w:type="dxa"/>
            <w:vAlign w:val="bottom"/>
          </w:tcPr>
          <w:p>
            <w:pPr>
              <w:spacing w:after="0"/>
              <w:rPr>
                <w:sz w:val="10"/>
                <w:szCs w:val="10"/>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(10.7)</w:t>
            </w:r>
          </w:p>
        </w:tc>
        <w:tc>
          <w:tcPr>
            <w:tcW w:w="920" w:type="dxa"/>
            <w:vAlign w:val="bottom"/>
          </w:tcPr>
          <w:p>
            <w:pPr>
              <w:jc w:val="right"/>
              <w:spacing w:after="0"/>
              <w:rPr>
                <w:sz w:val="20"/>
                <w:szCs w:val="20"/>
                <w:color w:val="auto"/>
              </w:rPr>
            </w:pPr>
            <w:r>
              <w:rPr>
                <w:rFonts w:ascii="Arial" w:cs="Arial" w:eastAsia="Arial" w:hAnsi="Arial"/>
                <w:sz w:val="10"/>
                <w:szCs w:val="10"/>
                <w:color w:val="auto"/>
              </w:rPr>
              <w:t>-3.7 %</w:t>
            </w:r>
          </w:p>
        </w:tc>
        <w:tc>
          <w:tcPr>
            <w:tcW w:w="40" w:type="dxa"/>
            <w:vAlign w:val="bottom"/>
          </w:tcPr>
          <w:p>
            <w:pPr>
              <w:spacing w:after="0"/>
              <w:rPr>
                <w:sz w:val="10"/>
                <w:szCs w:val="10"/>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284.9</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(8.3)</w:t>
            </w:r>
          </w:p>
        </w:tc>
        <w:tc>
          <w:tcPr>
            <w:tcW w:w="800" w:type="dxa"/>
            <w:vAlign w:val="bottom"/>
          </w:tcPr>
          <w:p>
            <w:pPr>
              <w:jc w:val="right"/>
              <w:spacing w:after="0"/>
              <w:rPr>
                <w:sz w:val="20"/>
                <w:szCs w:val="20"/>
                <w:color w:val="auto"/>
              </w:rPr>
            </w:pPr>
            <w:r>
              <w:rPr>
                <w:rFonts w:ascii="Arial" w:cs="Arial" w:eastAsia="Arial" w:hAnsi="Arial"/>
                <w:sz w:val="10"/>
                <w:szCs w:val="10"/>
                <w:color w:val="auto"/>
              </w:rPr>
              <w:t>-2.9 %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Vision</w:t>
            </w:r>
          </w:p>
        </w:tc>
        <w:tc>
          <w:tcPr>
            <w:tcW w:w="1120" w:type="dxa"/>
            <w:vAlign w:val="bottom"/>
            <w:tcBorders>
              <w:left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2,060.8</w:t>
            </w:r>
          </w:p>
        </w:tc>
        <w:tc>
          <w:tcPr>
            <w:tcW w:w="1140" w:type="dxa"/>
            <w:vAlign w:val="bottom"/>
          </w:tcPr>
          <w:p>
            <w:pPr>
              <w:jc w:val="right"/>
              <w:ind w:right="92"/>
              <w:spacing w:after="0"/>
              <w:rPr>
                <w:sz w:val="20"/>
                <w:szCs w:val="20"/>
                <w:color w:val="auto"/>
              </w:rPr>
            </w:pPr>
            <w:r>
              <w:rPr>
                <w:rFonts w:ascii="Arial" w:cs="Arial" w:eastAsia="Arial" w:hAnsi="Arial"/>
                <w:sz w:val="10"/>
                <w:szCs w:val="10"/>
                <w:b w:val="1"/>
                <w:bCs w:val="1"/>
                <w:color w:val="00497F"/>
              </w:rPr>
              <w:t>2,066.3</w:t>
            </w:r>
          </w:p>
        </w:tc>
        <w:tc>
          <w:tcPr>
            <w:tcW w:w="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2,082.6</w:t>
            </w:r>
          </w:p>
        </w:tc>
        <w:tc>
          <w:tcPr>
            <w:tcW w:w="80" w:type="dxa"/>
            <w:vAlign w:val="bottom"/>
          </w:tcPr>
          <w:p>
            <w:pPr>
              <w:spacing w:after="0"/>
              <w:rPr>
                <w:sz w:val="10"/>
                <w:szCs w:val="10"/>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(21.8)</w:t>
            </w:r>
          </w:p>
        </w:tc>
        <w:tc>
          <w:tcPr>
            <w:tcW w:w="920" w:type="dxa"/>
            <w:vAlign w:val="bottom"/>
          </w:tcPr>
          <w:p>
            <w:pPr>
              <w:jc w:val="right"/>
              <w:spacing w:after="0"/>
              <w:rPr>
                <w:sz w:val="20"/>
                <w:szCs w:val="20"/>
                <w:color w:val="auto"/>
              </w:rPr>
            </w:pPr>
            <w:r>
              <w:rPr>
                <w:rFonts w:ascii="Arial" w:cs="Arial" w:eastAsia="Arial" w:hAnsi="Arial"/>
                <w:sz w:val="10"/>
                <w:szCs w:val="10"/>
                <w:color w:val="auto"/>
              </w:rPr>
              <w:t>-1.0 %</w:t>
            </w:r>
          </w:p>
        </w:tc>
        <w:tc>
          <w:tcPr>
            <w:tcW w:w="40" w:type="dxa"/>
            <w:vAlign w:val="bottom"/>
          </w:tcPr>
          <w:p>
            <w:pPr>
              <w:spacing w:after="0"/>
              <w:rPr>
                <w:sz w:val="10"/>
                <w:szCs w:val="10"/>
                <w:color w:val="auto"/>
              </w:rPr>
            </w:pPr>
          </w:p>
        </w:tc>
        <w:tc>
          <w:tcPr>
            <w:tcW w:w="980" w:type="dxa"/>
            <w:vAlign w:val="bottom"/>
          </w:tcPr>
          <w:p>
            <w:pPr>
              <w:jc w:val="right"/>
              <w:ind w:right="12"/>
              <w:spacing w:after="0"/>
              <w:rPr>
                <w:sz w:val="20"/>
                <w:szCs w:val="20"/>
                <w:color w:val="auto"/>
              </w:rPr>
            </w:pPr>
            <w:r>
              <w:rPr>
                <w:rFonts w:ascii="Arial" w:cs="Arial" w:eastAsia="Arial" w:hAnsi="Arial"/>
                <w:sz w:val="10"/>
                <w:szCs w:val="10"/>
                <w:color w:val="auto"/>
              </w:rPr>
              <w:t>2,005.5</w:t>
            </w:r>
          </w:p>
        </w:tc>
        <w:tc>
          <w:tcPr>
            <w:tcW w:w="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55.3</w:t>
            </w:r>
          </w:p>
        </w:tc>
        <w:tc>
          <w:tcPr>
            <w:tcW w:w="800" w:type="dxa"/>
            <w:vAlign w:val="bottom"/>
          </w:tcPr>
          <w:p>
            <w:pPr>
              <w:jc w:val="right"/>
              <w:spacing w:after="0"/>
              <w:rPr>
                <w:sz w:val="20"/>
                <w:szCs w:val="20"/>
                <w:color w:val="auto"/>
              </w:rPr>
            </w:pPr>
            <w:r>
              <w:rPr>
                <w:rFonts w:ascii="Arial" w:cs="Arial" w:eastAsia="Arial" w:hAnsi="Arial"/>
                <w:sz w:val="10"/>
                <w:szCs w:val="10"/>
                <w:color w:val="auto"/>
              </w:rPr>
              <w:t>2.8 %</w:t>
            </w: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Other supplemental benefits (G)</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405.8</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404.7</w:t>
            </w:r>
          </w:p>
        </w:tc>
        <w:tc>
          <w:tcPr>
            <w:tcW w:w="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411.7</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(5.9)</w:t>
            </w:r>
          </w:p>
        </w:tc>
        <w:tc>
          <w:tcPr>
            <w:tcW w:w="920" w:type="dxa"/>
            <w:vAlign w:val="bottom"/>
          </w:tcPr>
          <w:p>
            <w:pPr>
              <w:jc w:val="right"/>
              <w:spacing w:after="0"/>
              <w:rPr>
                <w:sz w:val="20"/>
                <w:szCs w:val="20"/>
                <w:color w:val="auto"/>
              </w:rPr>
            </w:pPr>
            <w:r>
              <w:rPr>
                <w:rFonts w:ascii="Arial" w:cs="Arial" w:eastAsia="Arial" w:hAnsi="Arial"/>
                <w:sz w:val="10"/>
                <w:szCs w:val="10"/>
                <w:color w:val="auto"/>
              </w:rPr>
              <w:t>-1.4 %</w:t>
            </w:r>
          </w:p>
        </w:tc>
        <w:tc>
          <w:tcPr>
            <w:tcW w:w="40" w:type="dxa"/>
            <w:vAlign w:val="bottom"/>
          </w:tcPr>
          <w:p>
            <w:pPr>
              <w:spacing w:after="0"/>
              <w:rPr>
                <w:sz w:val="10"/>
                <w:szCs w:val="1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402.3</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w:t>
            </w:r>
          </w:p>
        </w:tc>
        <w:tc>
          <w:tcPr>
            <w:tcW w:w="800" w:type="dxa"/>
            <w:vAlign w:val="bottom"/>
          </w:tcPr>
          <w:p>
            <w:pPr>
              <w:jc w:val="right"/>
              <w:spacing w:after="0"/>
              <w:rPr>
                <w:sz w:val="20"/>
                <w:szCs w:val="20"/>
                <w:color w:val="auto"/>
              </w:rPr>
            </w:pPr>
            <w:r>
              <w:rPr>
                <w:rFonts w:ascii="Arial" w:cs="Arial" w:eastAsia="Arial" w:hAnsi="Arial"/>
                <w:sz w:val="10"/>
                <w:szCs w:val="10"/>
                <w:color w:val="auto"/>
              </w:rPr>
              <w:t>0.9 %</w:t>
            </w:r>
          </w:p>
        </w:tc>
        <w:tc>
          <w:tcPr>
            <w:tcW w:w="0" w:type="dxa"/>
            <w:vAlign w:val="bottom"/>
          </w:tcPr>
          <w:p>
            <w:pPr>
              <w:spacing w:after="0"/>
              <w:rPr>
                <w:sz w:val="1"/>
                <w:szCs w:val="1"/>
                <w:color w:val="auto"/>
              </w:rPr>
            </w:pPr>
          </w:p>
        </w:tc>
      </w:tr>
      <w:tr>
        <w:trPr>
          <w:trHeight w:val="115"/>
        </w:trPr>
        <w:tc>
          <w:tcPr>
            <w:tcW w:w="2680" w:type="dxa"/>
            <w:vAlign w:val="bottom"/>
          </w:tcPr>
          <w:p>
            <w:pPr>
              <w:spacing w:after="0"/>
              <w:rPr>
                <w:sz w:val="20"/>
                <w:szCs w:val="20"/>
                <w:color w:val="auto"/>
              </w:rPr>
            </w:pPr>
            <w:r>
              <w:rPr>
                <w:rFonts w:ascii="Arial" w:cs="Arial" w:eastAsia="Arial" w:hAnsi="Arial"/>
                <w:sz w:val="10"/>
                <w:szCs w:val="10"/>
                <w:b w:val="1"/>
                <w:bCs w:val="1"/>
                <w:color w:val="auto"/>
              </w:rPr>
              <w:t>Total Specialty Membership</w:t>
            </w:r>
          </w:p>
        </w:tc>
        <w:tc>
          <w:tcPr>
            <w:tcW w:w="1120" w:type="dxa"/>
            <w:vAlign w:val="bottom"/>
            <w:tcBorders>
              <w:left w:val="single" w:sz="8" w:color="auto"/>
              <w:bottom w:val="single" w:sz="8" w:color="auto"/>
              <w:right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00497F"/>
              </w:rPr>
              <w:t>5,326.1</w:t>
            </w:r>
          </w:p>
        </w:tc>
        <w:tc>
          <w:tcPr>
            <w:tcW w:w="114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00497F"/>
              </w:rPr>
              <w:t>5,336.4</w:t>
            </w:r>
          </w:p>
        </w:tc>
        <w:tc>
          <w:tcPr>
            <w:tcW w:w="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5,470.7</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(144.6)</w:t>
            </w:r>
          </w:p>
        </w:tc>
        <w:tc>
          <w:tcPr>
            <w:tcW w:w="920" w:type="dxa"/>
            <w:vAlign w:val="bottom"/>
          </w:tcPr>
          <w:p>
            <w:pPr>
              <w:jc w:val="right"/>
              <w:spacing w:after="0"/>
              <w:rPr>
                <w:sz w:val="20"/>
                <w:szCs w:val="20"/>
                <w:color w:val="auto"/>
              </w:rPr>
            </w:pPr>
            <w:r>
              <w:rPr>
                <w:rFonts w:ascii="Arial" w:cs="Arial" w:eastAsia="Arial" w:hAnsi="Arial"/>
                <w:sz w:val="10"/>
                <w:szCs w:val="10"/>
                <w:color w:val="auto"/>
              </w:rPr>
              <w:t>-2.6 %</w:t>
            </w:r>
          </w:p>
        </w:tc>
        <w:tc>
          <w:tcPr>
            <w:tcW w:w="40" w:type="dxa"/>
            <w:vAlign w:val="bottom"/>
          </w:tcPr>
          <w:p>
            <w:pPr>
              <w:spacing w:after="0"/>
              <w:rPr>
                <w:sz w:val="10"/>
                <w:szCs w:val="1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5,310.3</w:t>
            </w:r>
          </w:p>
        </w:tc>
        <w:tc>
          <w:tcPr>
            <w:tcW w:w="80" w:type="dxa"/>
            <w:vAlign w:val="bottom"/>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15.8</w:t>
            </w:r>
          </w:p>
        </w:tc>
        <w:tc>
          <w:tcPr>
            <w:tcW w:w="800" w:type="dxa"/>
            <w:vAlign w:val="bottom"/>
          </w:tcPr>
          <w:p>
            <w:pPr>
              <w:jc w:val="right"/>
              <w:spacing w:after="0"/>
              <w:rPr>
                <w:sz w:val="20"/>
                <w:szCs w:val="20"/>
                <w:color w:val="auto"/>
              </w:rPr>
            </w:pPr>
            <w:r>
              <w:rPr>
                <w:rFonts w:ascii="Arial" w:cs="Arial" w:eastAsia="Arial" w:hAnsi="Arial"/>
                <w:sz w:val="10"/>
                <w:szCs w:val="10"/>
                <w:color w:val="auto"/>
              </w:rPr>
              <w:t>0.3 %</w:t>
            </w:r>
          </w:p>
        </w:tc>
        <w:tc>
          <w:tcPr>
            <w:tcW w:w="0" w:type="dxa"/>
            <w:vAlign w:val="bottom"/>
          </w:tcPr>
          <w:p>
            <w:pPr>
              <w:spacing w:after="0"/>
              <w:rPr>
                <w:sz w:val="1"/>
                <w:szCs w:val="1"/>
                <w:color w:val="auto"/>
              </w:rPr>
            </w:pPr>
          </w:p>
        </w:tc>
      </w:tr>
      <w:tr>
        <w:trPr>
          <w:trHeight w:val="70"/>
        </w:trPr>
        <w:tc>
          <w:tcPr>
            <w:tcW w:w="268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680" w:type="dxa"/>
            <w:vAlign w:val="bottom"/>
          </w:tcPr>
          <w:p>
            <w:pPr>
              <w:spacing w:after="0"/>
              <w:rPr>
                <w:sz w:val="7"/>
                <w:szCs w:val="7"/>
                <w:color w:val="auto"/>
              </w:rPr>
            </w:pPr>
          </w:p>
        </w:tc>
        <w:tc>
          <w:tcPr>
            <w:tcW w:w="1060" w:type="dxa"/>
            <w:vAlign w:val="bottom"/>
            <w:tcBorders>
              <w:left w:val="single" w:sz="8" w:color="auto"/>
              <w:right w:val="single" w:sz="8" w:color="auto"/>
            </w:tcBorders>
            <w:vMerge w:val="restart"/>
          </w:tcPr>
          <w:p>
            <w:pPr>
              <w:jc w:val="right"/>
              <w:ind w:right="132"/>
              <w:spacing w:after="0"/>
              <w:rPr>
                <w:sz w:val="20"/>
                <w:szCs w:val="20"/>
                <w:color w:val="auto"/>
              </w:rPr>
            </w:pPr>
            <w:r>
              <w:rPr>
                <w:rFonts w:ascii="Arial" w:cs="Arial" w:eastAsia="Arial" w:hAnsi="Arial"/>
                <w:sz w:val="10"/>
                <w:szCs w:val="10"/>
                <w:b w:val="1"/>
                <w:bCs w:val="1"/>
                <w:color w:val="00497F"/>
              </w:rPr>
              <w:t>March 31, 2021</w:t>
            </w:r>
          </w:p>
        </w:tc>
        <w:tc>
          <w:tcPr>
            <w:tcW w:w="60" w:type="dxa"/>
            <w:vAlign w:val="bottom"/>
            <w:tcBorders>
              <w:right w:val="single" w:sz="8" w:color="auto"/>
            </w:tcBorders>
          </w:tcPr>
          <w:p>
            <w:pPr>
              <w:spacing w:after="0"/>
              <w:rPr>
                <w:sz w:val="7"/>
                <w:szCs w:val="7"/>
                <w:color w:val="auto"/>
              </w:rPr>
            </w:pPr>
          </w:p>
        </w:tc>
        <w:tc>
          <w:tcPr>
            <w:tcW w:w="1140" w:type="dxa"/>
            <w:vAlign w:val="bottom"/>
            <w:tcBorders>
              <w:right w:val="single" w:sz="8" w:color="auto"/>
            </w:tcBorders>
          </w:tcPr>
          <w:p>
            <w:pPr>
              <w:jc w:val="center"/>
              <w:spacing w:after="0" w:line="84" w:lineRule="exact"/>
              <w:rPr>
                <w:sz w:val="20"/>
                <w:szCs w:val="20"/>
                <w:color w:val="auto"/>
              </w:rPr>
            </w:pPr>
            <w:r>
              <w:rPr>
                <w:rFonts w:ascii="Arial" w:cs="Arial" w:eastAsia="Arial" w:hAnsi="Arial"/>
                <w:sz w:val="8"/>
                <w:szCs w:val="8"/>
                <w:b w:val="1"/>
                <w:bCs w:val="1"/>
                <w:color w:val="00497F"/>
              </w:rPr>
              <w:t>Member Mix</w:t>
            </w:r>
          </w:p>
        </w:tc>
        <w:tc>
          <w:tcPr>
            <w:tcW w:w="40" w:type="dxa"/>
            <w:vAlign w:val="bottom"/>
          </w:tcPr>
          <w:p>
            <w:pPr>
              <w:spacing w:after="0"/>
              <w:rPr>
                <w:sz w:val="7"/>
                <w:szCs w:val="7"/>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0"/>
                <w:szCs w:val="10"/>
                <w:color w:val="auto"/>
              </w:rPr>
              <w:t>March 31, 2020</w:t>
            </w:r>
          </w:p>
        </w:tc>
        <w:tc>
          <w:tcPr>
            <w:tcW w:w="1120" w:type="dxa"/>
            <w:vAlign w:val="bottom"/>
          </w:tcPr>
          <w:p>
            <w:pPr>
              <w:jc w:val="center"/>
              <w:spacing w:after="0" w:line="84" w:lineRule="exact"/>
              <w:rPr>
                <w:sz w:val="20"/>
                <w:szCs w:val="20"/>
                <w:color w:val="auto"/>
              </w:rPr>
            </w:pPr>
            <w:r>
              <w:rPr>
                <w:rFonts w:ascii="Arial" w:cs="Arial" w:eastAsia="Arial" w:hAnsi="Arial"/>
                <w:sz w:val="8"/>
                <w:szCs w:val="8"/>
                <w:color w:val="auto"/>
              </w:rPr>
              <w:t>Member Mix</w:t>
            </w: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1060" w:type="dxa"/>
            <w:vAlign w:val="bottom"/>
            <w:tcBorders>
              <w:left w:val="single" w:sz="8" w:color="auto"/>
              <w:right w:val="single" w:sz="8" w:color="auto"/>
            </w:tcBorders>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00497F"/>
                <w:w w:val="95"/>
              </w:rPr>
              <w:t>March 31, 2021</w:t>
            </w:r>
          </w:p>
        </w:tc>
        <w:tc>
          <w:tcPr>
            <w:tcW w:w="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color w:val="auto"/>
                <w:w w:val="94"/>
              </w:rPr>
              <w:t>March 31, 2020</w:t>
            </w: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80" w:type="dxa"/>
            <w:vAlign w:val="bottom"/>
          </w:tcPr>
          <w:p>
            <w:pPr>
              <w:spacing w:after="0" w:line="107" w:lineRule="exact"/>
              <w:rPr>
                <w:sz w:val="20"/>
                <w:szCs w:val="20"/>
                <w:color w:val="auto"/>
              </w:rPr>
            </w:pPr>
            <w:r>
              <w:rPr>
                <w:rFonts w:ascii="Arial" w:cs="Arial" w:eastAsia="Arial" w:hAnsi="Arial"/>
                <w:sz w:val="10"/>
                <w:szCs w:val="10"/>
                <w:color w:val="auto"/>
              </w:rPr>
              <w:t>Individual Medicare Advantage Membership</w:t>
            </w:r>
          </w:p>
        </w:tc>
        <w:tc>
          <w:tcPr>
            <w:tcW w:w="1060" w:type="dxa"/>
            <w:vAlign w:val="bottom"/>
            <w:tcBorders>
              <w:top w:val="single" w:sz="8" w:color="auto"/>
              <w:left w:val="single" w:sz="8" w:color="auto"/>
              <w:right w:val="single" w:sz="8" w:color="auto"/>
            </w:tcBorders>
            <w:vMerge w:val="restart"/>
          </w:tcPr>
          <w:p>
            <w:pPr>
              <w:jc w:val="right"/>
              <w:ind w:right="12"/>
              <w:spacing w:after="0"/>
              <w:rPr>
                <w:sz w:val="20"/>
                <w:szCs w:val="20"/>
                <w:color w:val="auto"/>
              </w:rPr>
            </w:pPr>
            <w:r>
              <w:rPr>
                <w:rFonts w:ascii="Arial" w:cs="Arial" w:eastAsia="Arial" w:hAnsi="Arial"/>
                <w:sz w:val="10"/>
                <w:szCs w:val="10"/>
                <w:b w:val="1"/>
                <w:bCs w:val="1"/>
                <w:color w:val="00497F"/>
              </w:rPr>
              <w:t>2,546.8</w:t>
            </w:r>
          </w:p>
        </w:tc>
        <w:tc>
          <w:tcPr>
            <w:tcW w:w="60" w:type="dxa"/>
            <w:vAlign w:val="bottom"/>
            <w:tcBorders>
              <w:right w:val="single" w:sz="8" w:color="auto"/>
            </w:tcBorders>
          </w:tcPr>
          <w:p>
            <w:pPr>
              <w:spacing w:after="0"/>
              <w:rPr>
                <w:sz w:val="9"/>
                <w:szCs w:val="9"/>
                <w:color w:val="auto"/>
              </w:rPr>
            </w:pPr>
          </w:p>
        </w:tc>
        <w:tc>
          <w:tcPr>
            <w:tcW w:w="114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0"/>
                <w:szCs w:val="10"/>
                <w:b w:val="1"/>
                <w:bCs w:val="1"/>
                <w:color w:val="00497F"/>
              </w:rPr>
              <w:t>59 %</w:t>
            </w:r>
          </w:p>
        </w:tc>
        <w:tc>
          <w:tcPr>
            <w:tcW w:w="4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680" w:type="dxa"/>
            <w:vAlign w:val="bottom"/>
          </w:tcPr>
          <w:p>
            <w:pPr>
              <w:ind w:left="140"/>
              <w:spacing w:after="0"/>
              <w:rPr>
                <w:sz w:val="20"/>
                <w:szCs w:val="20"/>
                <w:color w:val="auto"/>
              </w:rPr>
            </w:pPr>
            <w:r>
              <w:rPr>
                <w:rFonts w:ascii="Arial" w:cs="Arial" w:eastAsia="Arial" w:hAnsi="Arial"/>
                <w:sz w:val="10"/>
                <w:szCs w:val="10"/>
                <w:color w:val="auto"/>
              </w:rPr>
              <w:t>HMO</w:t>
            </w:r>
          </w:p>
        </w:tc>
        <w:tc>
          <w:tcPr>
            <w:tcW w:w="1060" w:type="dxa"/>
            <w:vAlign w:val="bottom"/>
            <w:tcBorders>
              <w:left w:val="single" w:sz="8" w:color="auto"/>
              <w:right w:val="single" w:sz="8" w:color="auto"/>
            </w:tcBorders>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2,269.5</w:t>
            </w:r>
          </w:p>
        </w:tc>
        <w:tc>
          <w:tcPr>
            <w:tcW w:w="8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59 %</w:t>
            </w: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PPO</w:t>
            </w:r>
          </w:p>
        </w:tc>
        <w:tc>
          <w:tcPr>
            <w:tcW w:w="106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1,744.5</w:t>
            </w:r>
          </w:p>
        </w:tc>
        <w:tc>
          <w:tcPr>
            <w:tcW w:w="60" w:type="dxa"/>
            <w:vAlign w:val="bottom"/>
            <w:tcBorders>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00497F"/>
              </w:rPr>
              <w:t>41 %</w:t>
            </w:r>
          </w:p>
        </w:tc>
        <w:tc>
          <w:tcPr>
            <w:tcW w:w="40" w:type="dxa"/>
            <w:vAlign w:val="bottom"/>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1,568.6</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41 %</w:t>
            </w: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80" w:type="dxa"/>
            <w:vAlign w:val="bottom"/>
          </w:tcPr>
          <w:p>
            <w:pPr>
              <w:spacing w:after="0"/>
              <w:rPr>
                <w:sz w:val="20"/>
                <w:szCs w:val="20"/>
                <w:color w:val="auto"/>
              </w:rPr>
            </w:pPr>
            <w:r>
              <w:rPr>
                <w:rFonts w:ascii="Arial" w:cs="Arial" w:eastAsia="Arial" w:hAnsi="Arial"/>
                <w:sz w:val="10"/>
                <w:szCs w:val="10"/>
                <w:b w:val="1"/>
                <w:bCs w:val="1"/>
                <w:color w:val="auto"/>
              </w:rPr>
              <w:t xml:space="preserve">Total Individual Medicare Advantage </w:t>
            </w:r>
            <w:r>
              <w:rPr>
                <w:rFonts w:ascii="Arial" w:cs="Arial" w:eastAsia="Arial" w:hAnsi="Arial"/>
                <w:sz w:val="10"/>
                <w:szCs w:val="10"/>
                <w:color w:val="auto"/>
              </w:rPr>
              <w:t>(H)</w:t>
            </w:r>
          </w:p>
        </w:tc>
        <w:tc>
          <w:tcPr>
            <w:tcW w:w="106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4,291.3</w:t>
            </w:r>
          </w:p>
        </w:tc>
        <w:tc>
          <w:tcPr>
            <w:tcW w:w="60" w:type="dxa"/>
            <w:vAlign w:val="bottom"/>
            <w:tcBorders>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100 %</w:t>
            </w:r>
          </w:p>
        </w:tc>
        <w:tc>
          <w:tcPr>
            <w:tcW w:w="40" w:type="dxa"/>
            <w:vAlign w:val="bottom"/>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3,838.1</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100 %</w:t>
            </w: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80" w:type="dxa"/>
            <w:vAlign w:val="bottom"/>
          </w:tcPr>
          <w:p>
            <w:pPr>
              <w:spacing w:after="0" w:line="107" w:lineRule="exact"/>
              <w:rPr>
                <w:sz w:val="20"/>
                <w:szCs w:val="20"/>
                <w:color w:val="auto"/>
              </w:rPr>
            </w:pPr>
            <w:r>
              <w:rPr>
                <w:rFonts w:ascii="Arial" w:cs="Arial" w:eastAsia="Arial" w:hAnsi="Arial"/>
                <w:sz w:val="10"/>
                <w:szCs w:val="10"/>
                <w:color w:val="auto"/>
              </w:rPr>
              <w:t>Individual Medicare Advantage Membership</w:t>
            </w:r>
          </w:p>
        </w:tc>
        <w:tc>
          <w:tcPr>
            <w:tcW w:w="1060" w:type="dxa"/>
            <w:vAlign w:val="bottom"/>
            <w:tcBorders>
              <w:left w:val="single" w:sz="8" w:color="auto"/>
              <w:right w:val="single" w:sz="8" w:color="auto"/>
            </w:tcBorders>
            <w:vMerge w:val="restart"/>
          </w:tcPr>
          <w:p>
            <w:pPr>
              <w:jc w:val="right"/>
              <w:ind w:right="12"/>
              <w:spacing w:after="0"/>
              <w:rPr>
                <w:sz w:val="20"/>
                <w:szCs w:val="20"/>
                <w:color w:val="auto"/>
              </w:rPr>
            </w:pPr>
            <w:r>
              <w:rPr>
                <w:rFonts w:ascii="Arial" w:cs="Arial" w:eastAsia="Arial" w:hAnsi="Arial"/>
                <w:sz w:val="10"/>
                <w:szCs w:val="10"/>
                <w:b w:val="1"/>
                <w:bCs w:val="1"/>
                <w:color w:val="00497F"/>
              </w:rPr>
              <w:t>1,342.8</w:t>
            </w:r>
          </w:p>
        </w:tc>
        <w:tc>
          <w:tcPr>
            <w:tcW w:w="6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0"/>
                <w:szCs w:val="10"/>
                <w:b w:val="1"/>
                <w:bCs w:val="1"/>
                <w:color w:val="00497F"/>
              </w:rPr>
              <w:t>31 %</w:t>
            </w: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680" w:type="dxa"/>
            <w:vAlign w:val="bottom"/>
          </w:tcPr>
          <w:p>
            <w:pPr>
              <w:ind w:left="140"/>
              <w:spacing w:after="0"/>
              <w:rPr>
                <w:sz w:val="20"/>
                <w:szCs w:val="20"/>
                <w:color w:val="auto"/>
              </w:rPr>
            </w:pPr>
            <w:r>
              <w:rPr>
                <w:rFonts w:ascii="Arial" w:cs="Arial" w:eastAsia="Arial" w:hAnsi="Arial"/>
                <w:sz w:val="10"/>
                <w:szCs w:val="10"/>
                <w:color w:val="auto"/>
              </w:rPr>
              <w:t>Shared Risk (I)</w:t>
            </w:r>
          </w:p>
        </w:tc>
        <w:tc>
          <w:tcPr>
            <w:tcW w:w="1060" w:type="dxa"/>
            <w:vAlign w:val="bottom"/>
            <w:tcBorders>
              <w:left w:val="single" w:sz="8" w:color="auto"/>
              <w:right w:val="single" w:sz="8" w:color="auto"/>
            </w:tcBorders>
            <w:vMerge w:val="continue"/>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1,179.7</w:t>
            </w:r>
          </w:p>
        </w:tc>
        <w:tc>
          <w:tcPr>
            <w:tcW w:w="8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31 %</w:t>
            </w: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Path to Risk (J)</w:t>
            </w:r>
          </w:p>
        </w:tc>
        <w:tc>
          <w:tcPr>
            <w:tcW w:w="106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1,467.9</w:t>
            </w:r>
          </w:p>
        </w:tc>
        <w:tc>
          <w:tcPr>
            <w:tcW w:w="60" w:type="dxa"/>
            <w:vAlign w:val="bottom"/>
            <w:tcBorders>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00497F"/>
              </w:rPr>
              <w:t>34 %</w:t>
            </w:r>
          </w:p>
        </w:tc>
        <w:tc>
          <w:tcPr>
            <w:tcW w:w="40" w:type="dxa"/>
            <w:vAlign w:val="bottom"/>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1,334.3</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35 %</w:t>
            </w: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80" w:type="dxa"/>
            <w:vAlign w:val="bottom"/>
          </w:tcPr>
          <w:p>
            <w:pPr>
              <w:ind w:left="360"/>
              <w:spacing w:after="0"/>
              <w:rPr>
                <w:sz w:val="20"/>
                <w:szCs w:val="20"/>
                <w:color w:val="auto"/>
              </w:rPr>
            </w:pPr>
            <w:r>
              <w:rPr>
                <w:rFonts w:ascii="Arial" w:cs="Arial" w:eastAsia="Arial" w:hAnsi="Arial"/>
                <w:sz w:val="10"/>
                <w:szCs w:val="10"/>
                <w:color w:val="auto"/>
              </w:rPr>
              <w:t>Total Value-based</w:t>
            </w:r>
          </w:p>
        </w:tc>
        <w:tc>
          <w:tcPr>
            <w:tcW w:w="1060" w:type="dxa"/>
            <w:vAlign w:val="bottom"/>
            <w:tcBorders>
              <w:left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2,810.7</w:t>
            </w:r>
          </w:p>
        </w:tc>
        <w:tc>
          <w:tcPr>
            <w:tcW w:w="6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00497F"/>
              </w:rPr>
              <w:t>65 %</w:t>
            </w:r>
          </w:p>
        </w:tc>
        <w:tc>
          <w:tcPr>
            <w:tcW w:w="40" w:type="dxa"/>
            <w:vAlign w:val="bottom"/>
          </w:tcPr>
          <w:p>
            <w:pPr>
              <w:spacing w:after="0"/>
              <w:rPr>
                <w:sz w:val="10"/>
                <w:szCs w:val="10"/>
                <w:color w:val="auto"/>
              </w:rPr>
            </w:pPr>
          </w:p>
        </w:tc>
        <w:tc>
          <w:tcPr>
            <w:tcW w:w="1060" w:type="dxa"/>
            <w:vAlign w:val="bottom"/>
          </w:tcPr>
          <w:p>
            <w:pPr>
              <w:jc w:val="right"/>
              <w:spacing w:after="0"/>
              <w:rPr>
                <w:sz w:val="20"/>
                <w:szCs w:val="20"/>
                <w:color w:val="auto"/>
              </w:rPr>
            </w:pPr>
            <w:r>
              <w:rPr>
                <w:rFonts w:ascii="Arial" w:cs="Arial" w:eastAsia="Arial" w:hAnsi="Arial"/>
                <w:sz w:val="10"/>
                <w:szCs w:val="10"/>
                <w:color w:val="auto"/>
              </w:rPr>
              <w:t>2,514.0</w:t>
            </w:r>
          </w:p>
        </w:tc>
        <w:tc>
          <w:tcPr>
            <w:tcW w:w="8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66 %</w:t>
            </w: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140"/>
              <w:spacing w:after="0"/>
              <w:rPr>
                <w:sz w:val="20"/>
                <w:szCs w:val="20"/>
                <w:color w:val="auto"/>
              </w:rPr>
            </w:pPr>
            <w:r>
              <w:rPr>
                <w:rFonts w:ascii="Arial" w:cs="Arial" w:eastAsia="Arial" w:hAnsi="Arial"/>
                <w:sz w:val="10"/>
                <w:szCs w:val="10"/>
                <w:color w:val="auto"/>
              </w:rPr>
              <w:t>Other</w:t>
            </w:r>
          </w:p>
        </w:tc>
        <w:tc>
          <w:tcPr>
            <w:tcW w:w="106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1,480.6</w:t>
            </w:r>
          </w:p>
        </w:tc>
        <w:tc>
          <w:tcPr>
            <w:tcW w:w="60" w:type="dxa"/>
            <w:vAlign w:val="bottom"/>
            <w:tcBorders>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00497F"/>
              </w:rPr>
              <w:t>35 %</w:t>
            </w:r>
          </w:p>
        </w:tc>
        <w:tc>
          <w:tcPr>
            <w:tcW w:w="40" w:type="dxa"/>
            <w:vAlign w:val="bottom"/>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1,324.1</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34 %</w:t>
            </w: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80" w:type="dxa"/>
            <w:vAlign w:val="bottom"/>
          </w:tcPr>
          <w:p>
            <w:pPr>
              <w:spacing w:after="0"/>
              <w:rPr>
                <w:sz w:val="20"/>
                <w:szCs w:val="20"/>
                <w:color w:val="auto"/>
              </w:rPr>
            </w:pPr>
            <w:r>
              <w:rPr>
                <w:rFonts w:ascii="Arial" w:cs="Arial" w:eastAsia="Arial" w:hAnsi="Arial"/>
                <w:sz w:val="10"/>
                <w:szCs w:val="10"/>
                <w:b w:val="1"/>
                <w:bCs w:val="1"/>
                <w:color w:val="auto"/>
              </w:rPr>
              <w:t>Total Individual Medicare Advantage</w:t>
            </w:r>
          </w:p>
        </w:tc>
        <w:tc>
          <w:tcPr>
            <w:tcW w:w="106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Arial" w:cs="Arial" w:eastAsia="Arial" w:hAnsi="Arial"/>
                <w:sz w:val="10"/>
                <w:szCs w:val="10"/>
                <w:b w:val="1"/>
                <w:bCs w:val="1"/>
                <w:color w:val="00497F"/>
              </w:rPr>
              <w:t>4,291.3</w:t>
            </w:r>
          </w:p>
        </w:tc>
        <w:tc>
          <w:tcPr>
            <w:tcW w:w="60" w:type="dxa"/>
            <w:vAlign w:val="bottom"/>
            <w:tcBorders>
              <w:right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00497F"/>
              </w:rPr>
              <w:t>100 %</w:t>
            </w:r>
          </w:p>
        </w:tc>
        <w:tc>
          <w:tcPr>
            <w:tcW w:w="40" w:type="dxa"/>
            <w:vAlign w:val="bottom"/>
          </w:tcPr>
          <w:p>
            <w:pPr>
              <w:spacing w:after="0"/>
              <w:rPr>
                <w:sz w:val="10"/>
                <w:szCs w:val="1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3,838.1</w:t>
            </w:r>
          </w:p>
        </w:tc>
        <w:tc>
          <w:tcPr>
            <w:tcW w:w="80" w:type="dxa"/>
            <w:vAlign w:val="bottom"/>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100 %</w:t>
            </w: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S-8</w:t>
      </w:r>
    </w:p>
    <w:p>
      <w:pPr>
        <w:sectPr>
          <w:pgSz w:w="11900" w:h="16838" w:orient="portrait"/>
          <w:cols w:equalWidth="0" w:num="1">
            <w:col w:w="10720"/>
          </w:cols>
          <w:pgMar w:left="300" w:top="306" w:right="87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Premiums and Services Revenue Detail</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Dollars in millions, except per member per month</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20" w:type="dxa"/>
            <w:vAlign w:val="bottom"/>
            <w:tcBorders>
              <w:right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20" w:type="dxa"/>
            <w:vAlign w:val="bottom"/>
            <w:tcBorders>
              <w:top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440" w:type="dxa"/>
            <w:vAlign w:val="bottom"/>
            <w:tcBorders>
              <w:top w:val="single" w:sz="8" w:color="auto"/>
              <w:right w:val="single" w:sz="8" w:color="auto"/>
            </w:tcBorders>
            <w:gridSpan w:val="3"/>
          </w:tcPr>
          <w:p>
            <w:pPr>
              <w:jc w:val="right"/>
              <w:ind w:right="607"/>
              <w:spacing w:after="0" w:line="115" w:lineRule="exact"/>
              <w:rPr>
                <w:sz w:val="20"/>
                <w:szCs w:val="20"/>
                <w:color w:val="auto"/>
              </w:rPr>
            </w:pPr>
            <w:r>
              <w:rPr>
                <w:rFonts w:ascii="Arial" w:cs="Arial" w:eastAsia="Arial" w:hAnsi="Arial"/>
                <w:sz w:val="11"/>
                <w:szCs w:val="11"/>
                <w:b w:val="1"/>
                <w:bCs w:val="1"/>
                <w:color w:val="auto"/>
              </w:rPr>
              <w:t>Per Member per Month (M)</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spacing w:after="0"/>
              <w:rPr>
                <w:sz w:val="12"/>
                <w:szCs w:val="12"/>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For the three months ended March 31,</w:t>
            </w:r>
          </w:p>
        </w:tc>
        <w:tc>
          <w:tcPr>
            <w:tcW w:w="420" w:type="dxa"/>
            <w:vAlign w:val="bottom"/>
            <w:tcBorders>
              <w:bottom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40" w:type="dxa"/>
            <w:vAlign w:val="bottom"/>
            <w:tcBorders>
              <w:bottom w:val="single" w:sz="8" w:color="auto"/>
              <w:right w:val="single" w:sz="8" w:color="auto"/>
            </w:tcBorders>
            <w:gridSpan w:val="3"/>
          </w:tcPr>
          <w:p>
            <w:pPr>
              <w:jc w:val="right"/>
              <w:ind w:right="307"/>
              <w:spacing w:after="0"/>
              <w:rPr>
                <w:sz w:val="20"/>
                <w:szCs w:val="20"/>
                <w:color w:val="auto"/>
              </w:rPr>
            </w:pPr>
            <w:r>
              <w:rPr>
                <w:rFonts w:ascii="Arial" w:cs="Arial" w:eastAsia="Arial" w:hAnsi="Arial"/>
                <w:sz w:val="11"/>
                <w:szCs w:val="11"/>
                <w:b w:val="1"/>
                <w:bCs w:val="1"/>
                <w:color w:val="auto"/>
              </w:rPr>
              <w:t>For the three months ended March 31,</w:t>
            </w:r>
          </w:p>
        </w:tc>
        <w:tc>
          <w:tcPr>
            <w:tcW w:w="0" w:type="dxa"/>
            <w:vAlign w:val="bottom"/>
          </w:tcPr>
          <w:p>
            <w:pPr>
              <w:spacing w:after="0"/>
              <w:rPr>
                <w:sz w:val="1"/>
                <w:szCs w:val="1"/>
                <w:color w:val="auto"/>
              </w:rPr>
            </w:pPr>
          </w:p>
        </w:tc>
      </w:tr>
      <w:tr>
        <w:trPr>
          <w:trHeight w:val="106"/>
        </w:trPr>
        <w:tc>
          <w:tcPr>
            <w:tcW w:w="322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jc w:val="center"/>
              <w:ind w:left="352"/>
              <w:spacing w:after="0" w:line="106" w:lineRule="exact"/>
              <w:rPr>
                <w:sz w:val="20"/>
                <w:szCs w:val="20"/>
                <w:color w:val="auto"/>
              </w:rPr>
            </w:pPr>
            <w:r>
              <w:rPr>
                <w:rFonts w:ascii="Arial" w:cs="Arial" w:eastAsia="Arial" w:hAnsi="Arial"/>
                <w:sz w:val="10"/>
                <w:szCs w:val="10"/>
                <w:color w:val="auto"/>
                <w:w w:val="99"/>
              </w:rPr>
              <w:t>Dollar</w:t>
            </w:r>
          </w:p>
        </w:tc>
        <w:tc>
          <w:tcPr>
            <w:tcW w:w="400" w:type="dxa"/>
            <w:vAlign w:val="bottom"/>
          </w:tcPr>
          <w:p>
            <w:pPr>
              <w:spacing w:after="0"/>
              <w:rPr>
                <w:sz w:val="9"/>
                <w:szCs w:val="9"/>
                <w:color w:val="auto"/>
              </w:rPr>
            </w:pPr>
          </w:p>
        </w:tc>
        <w:tc>
          <w:tcPr>
            <w:tcW w:w="980" w:type="dxa"/>
            <w:vAlign w:val="bottom"/>
          </w:tcPr>
          <w:p>
            <w:pPr>
              <w:jc w:val="center"/>
              <w:ind w:left="372"/>
              <w:spacing w:after="0" w:line="106" w:lineRule="exact"/>
              <w:rPr>
                <w:sz w:val="20"/>
                <w:szCs w:val="20"/>
                <w:color w:val="auto"/>
              </w:rPr>
            </w:pPr>
            <w:r>
              <w:rPr>
                <w:rFonts w:ascii="Arial" w:cs="Arial" w:eastAsia="Arial" w:hAnsi="Arial"/>
                <w:sz w:val="10"/>
                <w:szCs w:val="10"/>
                <w:color w:val="auto"/>
                <w:w w:val="93"/>
              </w:rPr>
              <w:t>Percentage</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2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Premiums and Services Revenue</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366092"/>
              </w:rPr>
              <w:t>2021</w:t>
            </w:r>
          </w:p>
        </w:tc>
        <w:tc>
          <w:tcPr>
            <w:tcW w:w="460" w:type="dxa"/>
            <w:vAlign w:val="bottom"/>
            <w:tcBorders>
              <w:bottom w:val="single" w:sz="8" w:color="auto"/>
              <w:right w:val="single" w:sz="8" w:color="auto"/>
            </w:tcBorders>
          </w:tcPr>
          <w:p>
            <w:pPr>
              <w:spacing w:after="0"/>
              <w:rPr>
                <w:sz w:val="10"/>
                <w:szCs w:val="10"/>
                <w:color w:val="auto"/>
              </w:rPr>
            </w:pPr>
          </w:p>
        </w:tc>
        <w:tc>
          <w:tcPr>
            <w:tcW w:w="9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rPr>
              <w:t>2020</w:t>
            </w:r>
          </w:p>
        </w:tc>
        <w:tc>
          <w:tcPr>
            <w:tcW w:w="4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bottom w:val="single" w:sz="8" w:color="auto"/>
            </w:tcBorders>
          </w:tcPr>
          <w:p>
            <w:pPr>
              <w:jc w:val="center"/>
              <w:ind w:left="352"/>
              <w:spacing w:after="0"/>
              <w:rPr>
                <w:sz w:val="20"/>
                <w:szCs w:val="20"/>
                <w:color w:val="auto"/>
              </w:rPr>
            </w:pPr>
            <w:r>
              <w:rPr>
                <w:rFonts w:ascii="Arial" w:cs="Arial" w:eastAsia="Arial" w:hAnsi="Arial"/>
                <w:sz w:val="10"/>
                <w:szCs w:val="10"/>
                <w:color w:val="auto"/>
                <w:w w:val="96"/>
              </w:rPr>
              <w:t>Change</w:t>
            </w:r>
          </w:p>
        </w:tc>
        <w:tc>
          <w:tcPr>
            <w:tcW w:w="4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left="372"/>
              <w:spacing w:after="0"/>
              <w:rPr>
                <w:sz w:val="20"/>
                <w:szCs w:val="20"/>
                <w:color w:val="auto"/>
              </w:rPr>
            </w:pPr>
            <w:r>
              <w:rPr>
                <w:rFonts w:ascii="Arial" w:cs="Arial" w:eastAsia="Arial" w:hAnsi="Arial"/>
                <w:sz w:val="10"/>
                <w:szCs w:val="10"/>
                <w:color w:val="auto"/>
                <w:w w:val="91"/>
              </w:rPr>
              <w:t>Change</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467"/>
              <w:spacing w:after="0"/>
              <w:rPr>
                <w:sz w:val="20"/>
                <w:szCs w:val="20"/>
                <w:color w:val="auto"/>
              </w:rPr>
            </w:pPr>
            <w:r>
              <w:rPr>
                <w:rFonts w:ascii="Arial" w:cs="Arial" w:eastAsia="Arial" w:hAnsi="Arial"/>
                <w:sz w:val="10"/>
                <w:szCs w:val="10"/>
                <w:b w:val="1"/>
                <w:bCs w:val="1"/>
                <w:color w:val="366092"/>
              </w:rPr>
              <w:t>2021</w:t>
            </w:r>
          </w:p>
        </w:tc>
        <w:tc>
          <w:tcPr>
            <w:tcW w:w="3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27"/>
              <w:spacing w:after="0"/>
              <w:rPr>
                <w:sz w:val="20"/>
                <w:szCs w:val="20"/>
                <w:color w:val="auto"/>
              </w:rPr>
            </w:pPr>
            <w:r>
              <w:rPr>
                <w:rFonts w:ascii="Arial" w:cs="Arial" w:eastAsia="Arial" w:hAnsi="Arial"/>
                <w:sz w:val="10"/>
                <w:szCs w:val="10"/>
                <w:color w:val="auto"/>
              </w:rPr>
              <w:t>2020</w:t>
            </w:r>
          </w:p>
        </w:tc>
        <w:tc>
          <w:tcPr>
            <w:tcW w:w="0" w:type="dxa"/>
            <w:vAlign w:val="bottom"/>
          </w:tcPr>
          <w:p>
            <w:pPr>
              <w:spacing w:after="0"/>
              <w:rPr>
                <w:sz w:val="1"/>
                <w:szCs w:val="1"/>
                <w:color w:val="auto"/>
              </w:rPr>
            </w:pPr>
          </w:p>
        </w:tc>
      </w:tr>
      <w:tr>
        <w:trPr>
          <w:trHeight w:val="120"/>
        </w:trPr>
        <w:tc>
          <w:tcPr>
            <w:tcW w:w="3220" w:type="dxa"/>
            <w:vAlign w:val="bottom"/>
            <w:tcBorders>
              <w:right w:val="single" w:sz="8" w:color="auto"/>
            </w:tcBorders>
            <w:vMerge w:val="continue"/>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Retail</w:t>
            </w:r>
          </w:p>
        </w:tc>
        <w:tc>
          <w:tcPr>
            <w:tcW w:w="840" w:type="dxa"/>
            <w:vAlign w:val="bottom"/>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Individual Medicare Advantage</w:t>
            </w:r>
          </w:p>
        </w:tc>
        <w:tc>
          <w:tcPr>
            <w:tcW w:w="840" w:type="dxa"/>
            <w:vAlign w:val="bottom"/>
          </w:tcPr>
          <w:p>
            <w:pPr>
              <w:jc w:val="right"/>
              <w:ind w:right="732"/>
              <w:spacing w:after="0"/>
              <w:rPr>
                <w:sz w:val="20"/>
                <w:szCs w:val="20"/>
                <w:color w:val="auto"/>
              </w:rPr>
            </w:pPr>
            <w:r>
              <w:rPr>
                <w:rFonts w:ascii="Arial" w:cs="Arial" w:eastAsia="Arial" w:hAnsi="Arial"/>
                <w:sz w:val="10"/>
                <w:szCs w:val="10"/>
                <w:b w:val="1"/>
                <w:bCs w:val="1"/>
                <w:color w:val="366092"/>
                <w:w w:val="71"/>
              </w:rPr>
              <w:t>$</w:t>
            </w: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14,815</w:t>
            </w:r>
          </w:p>
        </w:tc>
        <w:tc>
          <w:tcPr>
            <w:tcW w:w="900" w:type="dxa"/>
            <w:vAlign w:val="bottom"/>
          </w:tcPr>
          <w:p>
            <w:pPr>
              <w:jc w:val="right"/>
              <w:ind w:right="769"/>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12,794</w:t>
            </w:r>
          </w:p>
        </w:tc>
        <w:tc>
          <w:tcPr>
            <w:tcW w:w="60" w:type="dxa"/>
            <w:vAlign w:val="bottom"/>
          </w:tcPr>
          <w:p>
            <w:pPr>
              <w:spacing w:after="0"/>
              <w:rPr>
                <w:sz w:val="12"/>
                <w:szCs w:val="12"/>
                <w:color w:val="auto"/>
              </w:rPr>
            </w:pPr>
          </w:p>
        </w:tc>
        <w:tc>
          <w:tcPr>
            <w:tcW w:w="900" w:type="dxa"/>
            <w:vAlign w:val="bottom"/>
          </w:tcPr>
          <w:p>
            <w:pPr>
              <w:jc w:val="right"/>
              <w:ind w:right="792"/>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2,021</w:t>
            </w:r>
          </w:p>
        </w:tc>
        <w:tc>
          <w:tcPr>
            <w:tcW w:w="980" w:type="dxa"/>
            <w:vAlign w:val="bottom"/>
          </w:tcPr>
          <w:p>
            <w:pPr>
              <w:spacing w:after="0"/>
              <w:rPr>
                <w:sz w:val="12"/>
                <w:szCs w:val="12"/>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1"/>
                <w:szCs w:val="11"/>
                <w:color w:val="auto"/>
              </w:rPr>
              <w:t xml:space="preserve">15.8 %  </w:t>
            </w:r>
            <w:r>
              <w:rPr>
                <w:rFonts w:ascii="Arial" w:cs="Arial" w:eastAsia="Arial" w:hAnsi="Arial"/>
                <w:sz w:val="11"/>
                <w:szCs w:val="11"/>
                <w:b w:val="1"/>
                <w:bCs w:val="1"/>
                <w:color w:val="366092"/>
              </w:rPr>
              <w:t>$</w:t>
            </w:r>
          </w:p>
        </w:tc>
        <w:tc>
          <w:tcPr>
            <w:tcW w:w="1080" w:type="dxa"/>
            <w:vAlign w:val="bottom"/>
          </w:tcPr>
          <w:p>
            <w:pPr>
              <w:jc w:val="right"/>
              <w:spacing w:after="0"/>
              <w:rPr>
                <w:sz w:val="20"/>
                <w:szCs w:val="20"/>
                <w:color w:val="auto"/>
              </w:rPr>
            </w:pPr>
            <w:r>
              <w:rPr>
                <w:rFonts w:ascii="Arial" w:cs="Arial" w:eastAsia="Arial" w:hAnsi="Arial"/>
                <w:sz w:val="11"/>
                <w:szCs w:val="11"/>
                <w:b w:val="1"/>
                <w:bCs w:val="1"/>
                <w:color w:val="366092"/>
              </w:rPr>
              <w:t>1,154</w:t>
            </w:r>
          </w:p>
        </w:tc>
        <w:tc>
          <w:tcPr>
            <w:tcW w:w="34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27"/>
              <w:spacing w:after="0"/>
              <w:rPr>
                <w:sz w:val="20"/>
                <w:szCs w:val="20"/>
                <w:color w:val="auto"/>
              </w:rPr>
            </w:pPr>
            <w:r>
              <w:rPr>
                <w:rFonts w:ascii="Arial" w:cs="Arial" w:eastAsia="Arial" w:hAnsi="Arial"/>
                <w:sz w:val="11"/>
                <w:szCs w:val="11"/>
                <w:color w:val="auto"/>
              </w:rPr>
              <w:t>1,114</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Group Medicare Advantage</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1,755</w:t>
            </w:r>
          </w:p>
        </w:tc>
        <w:tc>
          <w:tcPr>
            <w:tcW w:w="9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2,011</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(256)</w:t>
            </w: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-12.7 %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366092"/>
              </w:rPr>
              <w:t>1,050</w:t>
            </w:r>
          </w:p>
        </w:tc>
        <w:tc>
          <w:tcPr>
            <w:tcW w:w="340" w:type="dxa"/>
            <w:vAlign w:val="bottom"/>
          </w:tcPr>
          <w:p>
            <w:pPr>
              <w:spacing w:after="0"/>
              <w:rPr>
                <w:sz w:val="12"/>
                <w:szCs w:val="12"/>
                <w:color w:val="auto"/>
              </w:rPr>
            </w:pPr>
          </w:p>
        </w:tc>
        <w:tc>
          <w:tcPr>
            <w:tcW w:w="1020" w:type="dxa"/>
            <w:vAlign w:val="bottom"/>
          </w:tcPr>
          <w:p>
            <w:pPr>
              <w:jc w:val="right"/>
              <w:ind w:right="27"/>
              <w:spacing w:after="0"/>
              <w:rPr>
                <w:sz w:val="20"/>
                <w:szCs w:val="20"/>
                <w:color w:val="auto"/>
              </w:rPr>
            </w:pPr>
            <w:r>
              <w:rPr>
                <w:rFonts w:ascii="Arial" w:cs="Arial" w:eastAsia="Arial" w:hAnsi="Arial"/>
                <w:sz w:val="11"/>
                <w:szCs w:val="11"/>
                <w:color w:val="auto"/>
              </w:rPr>
              <w:t>1,109</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Medicare stand-alone PDP</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664</w:t>
            </w:r>
          </w:p>
        </w:tc>
        <w:tc>
          <w:tcPr>
            <w:tcW w:w="9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755</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(91)</w:t>
            </w: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-12.1 %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366092"/>
              </w:rPr>
              <w:t>60</w:t>
            </w:r>
          </w:p>
        </w:tc>
        <w:tc>
          <w:tcPr>
            <w:tcW w:w="340" w:type="dxa"/>
            <w:vAlign w:val="bottom"/>
          </w:tcPr>
          <w:p>
            <w:pPr>
              <w:spacing w:after="0"/>
              <w:rPr>
                <w:sz w:val="12"/>
                <w:szCs w:val="12"/>
                <w:color w:val="auto"/>
              </w:rPr>
            </w:pPr>
          </w:p>
        </w:tc>
        <w:tc>
          <w:tcPr>
            <w:tcW w:w="1020" w:type="dxa"/>
            <w:vAlign w:val="bottom"/>
          </w:tcPr>
          <w:p>
            <w:pPr>
              <w:jc w:val="right"/>
              <w:ind w:right="27"/>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State-based contracts (E)</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1,179</w:t>
            </w:r>
          </w:p>
        </w:tc>
        <w:tc>
          <w:tcPr>
            <w:tcW w:w="9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981</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198</w:t>
            </w: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20.2 %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366092"/>
              </w:rPr>
              <w:t>475</w:t>
            </w:r>
          </w:p>
        </w:tc>
        <w:tc>
          <w:tcPr>
            <w:tcW w:w="340" w:type="dxa"/>
            <w:vAlign w:val="bottom"/>
          </w:tcPr>
          <w:p>
            <w:pPr>
              <w:spacing w:after="0"/>
              <w:rPr>
                <w:sz w:val="12"/>
                <w:szCs w:val="12"/>
                <w:color w:val="auto"/>
              </w:rPr>
            </w:pPr>
          </w:p>
        </w:tc>
        <w:tc>
          <w:tcPr>
            <w:tcW w:w="1020" w:type="dxa"/>
            <w:vAlign w:val="bottom"/>
          </w:tcPr>
          <w:p>
            <w:pPr>
              <w:jc w:val="right"/>
              <w:ind w:right="27"/>
              <w:spacing w:after="0"/>
              <w:rPr>
                <w:sz w:val="20"/>
                <w:szCs w:val="20"/>
                <w:color w:val="auto"/>
              </w:rPr>
            </w:pPr>
            <w:r>
              <w:rPr>
                <w:rFonts w:ascii="Arial" w:cs="Arial" w:eastAsia="Arial" w:hAnsi="Arial"/>
                <w:sz w:val="11"/>
                <w:szCs w:val="11"/>
                <w:color w:val="auto"/>
              </w:rPr>
              <w:t>532</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Medicare Supplement</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178</w:t>
            </w:r>
          </w:p>
        </w:tc>
        <w:tc>
          <w:tcPr>
            <w:tcW w:w="9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163</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15</w:t>
            </w: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9.2 %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366092"/>
              </w:rPr>
              <w:t>181</w:t>
            </w:r>
          </w:p>
        </w:tc>
        <w:tc>
          <w:tcPr>
            <w:tcW w:w="340" w:type="dxa"/>
            <w:vAlign w:val="bottom"/>
          </w:tcPr>
          <w:p>
            <w:pPr>
              <w:spacing w:after="0"/>
              <w:rPr>
                <w:sz w:val="12"/>
                <w:szCs w:val="12"/>
                <w:color w:val="auto"/>
              </w:rPr>
            </w:pPr>
          </w:p>
        </w:tc>
        <w:tc>
          <w:tcPr>
            <w:tcW w:w="1020" w:type="dxa"/>
            <w:vAlign w:val="bottom"/>
          </w:tcPr>
          <w:p>
            <w:pPr>
              <w:jc w:val="right"/>
              <w:ind w:right="27"/>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Other services</w:t>
            </w:r>
          </w:p>
        </w:tc>
        <w:tc>
          <w:tcPr>
            <w:tcW w:w="84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5</w:t>
            </w:r>
          </w:p>
        </w:tc>
        <w:tc>
          <w:tcPr>
            <w:tcW w:w="9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25.0 %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20" w:type="dxa"/>
            <w:vAlign w:val="bottom"/>
            <w:tcBorders>
              <w:right w:val="single" w:sz="8" w:color="auto"/>
            </w:tcBorders>
          </w:tcPr>
          <w:p>
            <w:pPr>
              <w:ind w:left="440"/>
              <w:spacing w:after="0" w:line="124" w:lineRule="exact"/>
              <w:rPr>
                <w:sz w:val="20"/>
                <w:szCs w:val="20"/>
                <w:color w:val="auto"/>
              </w:rPr>
            </w:pPr>
            <w:r>
              <w:rPr>
                <w:rFonts w:ascii="Arial" w:cs="Arial" w:eastAsia="Arial" w:hAnsi="Arial"/>
                <w:sz w:val="11"/>
                <w:szCs w:val="11"/>
                <w:b w:val="1"/>
                <w:bCs w:val="1"/>
                <w:color w:val="auto"/>
              </w:rPr>
              <w:t>Total Retail</w:t>
            </w:r>
          </w:p>
        </w:tc>
        <w:tc>
          <w:tcPr>
            <w:tcW w:w="840" w:type="dxa"/>
            <w:vAlign w:val="bottom"/>
            <w:tcBorders>
              <w:bottom w:val="single" w:sz="8" w:color="auto"/>
            </w:tcBorders>
          </w:tcPr>
          <w:p>
            <w:pPr>
              <w:spacing w:after="0"/>
              <w:rPr>
                <w:sz w:val="13"/>
                <w:szCs w:val="13"/>
                <w:color w:val="auto"/>
              </w:rPr>
            </w:pPr>
          </w:p>
        </w:tc>
        <w:tc>
          <w:tcPr>
            <w:tcW w:w="4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18,596</w:t>
            </w:r>
          </w:p>
        </w:tc>
        <w:tc>
          <w:tcPr>
            <w:tcW w:w="9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16,708</w:t>
            </w:r>
          </w:p>
        </w:tc>
        <w:tc>
          <w:tcPr>
            <w:tcW w:w="6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1,888</w:t>
            </w: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11.3 %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3220" w:type="dxa"/>
            <w:vAlign w:val="bottom"/>
            <w:tcBorders>
              <w:right w:val="single" w:sz="8" w:color="auto"/>
            </w:tcBorders>
          </w:tcPr>
          <w:p>
            <w:pPr>
              <w:ind w:left="80"/>
              <w:spacing w:after="0" w:line="103" w:lineRule="exact"/>
              <w:rPr>
                <w:sz w:val="20"/>
                <w:szCs w:val="20"/>
                <w:color w:val="auto"/>
              </w:rPr>
            </w:pPr>
            <w:r>
              <w:rPr>
                <w:rFonts w:ascii="Arial" w:cs="Arial" w:eastAsia="Arial" w:hAnsi="Arial"/>
                <w:sz w:val="11"/>
                <w:szCs w:val="11"/>
                <w:b w:val="1"/>
                <w:bCs w:val="1"/>
                <w:color w:val="auto"/>
              </w:rPr>
              <w:t>Group and Specialty</w:t>
            </w:r>
          </w:p>
        </w:tc>
        <w:tc>
          <w:tcPr>
            <w:tcW w:w="840" w:type="dxa"/>
            <w:vAlign w:val="bottom"/>
          </w:tcPr>
          <w:p>
            <w:pPr>
              <w:spacing w:after="0"/>
              <w:rPr>
                <w:sz w:val="8"/>
                <w:szCs w:val="8"/>
                <w:color w:val="auto"/>
              </w:rPr>
            </w:pPr>
          </w:p>
        </w:tc>
        <w:tc>
          <w:tcPr>
            <w:tcW w:w="46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366092"/>
              </w:rPr>
              <w:t>1,099</w:t>
            </w: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b w:val="1"/>
                <w:bCs w:val="1"/>
                <w:color w:val="366092"/>
              </w:rPr>
              <w:t>504</w:t>
            </w: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Fully-insured commercial medical</w:t>
            </w:r>
          </w:p>
        </w:tc>
        <w:tc>
          <w:tcPr>
            <w:tcW w:w="840" w:type="dxa"/>
            <w:vAlign w:val="bottom"/>
          </w:tcPr>
          <w:p>
            <w:pPr>
              <w:spacing w:after="0"/>
              <w:rPr>
                <w:sz w:val="12"/>
                <w:szCs w:val="12"/>
                <w:color w:val="auto"/>
              </w:rPr>
            </w:pPr>
          </w:p>
        </w:tc>
        <w:tc>
          <w:tcPr>
            <w:tcW w:w="460" w:type="dxa"/>
            <w:vAlign w:val="bottom"/>
            <w:tcBorders>
              <w:right w:val="single" w:sz="8" w:color="auto"/>
            </w:tcBorders>
            <w:vMerge w:val="continue"/>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1,229</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(130)</w:t>
            </w: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-10.6 %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27"/>
              <w:spacing w:after="0"/>
              <w:rPr>
                <w:sz w:val="20"/>
                <w:szCs w:val="20"/>
                <w:color w:val="auto"/>
              </w:rPr>
            </w:pPr>
            <w:r>
              <w:rPr>
                <w:rFonts w:ascii="Arial" w:cs="Arial" w:eastAsia="Arial" w:hAnsi="Arial"/>
                <w:sz w:val="11"/>
                <w:szCs w:val="11"/>
                <w:color w:val="auto"/>
              </w:rPr>
              <w:t>472</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Specialty (K)</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434</w:t>
            </w:r>
          </w:p>
        </w:tc>
        <w:tc>
          <w:tcPr>
            <w:tcW w:w="9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429</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w:t>
            </w: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1.2 %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b w:val="1"/>
                <w:bCs w:val="1"/>
                <w:color w:val="366092"/>
              </w:rPr>
              <w:t>29</w:t>
            </w:r>
          </w:p>
        </w:tc>
        <w:tc>
          <w:tcPr>
            <w:tcW w:w="340" w:type="dxa"/>
            <w:vAlign w:val="bottom"/>
          </w:tcPr>
          <w:p>
            <w:pPr>
              <w:spacing w:after="0"/>
              <w:rPr>
                <w:sz w:val="12"/>
                <w:szCs w:val="12"/>
                <w:color w:val="auto"/>
              </w:rPr>
            </w:pPr>
          </w:p>
        </w:tc>
        <w:tc>
          <w:tcPr>
            <w:tcW w:w="1020" w:type="dxa"/>
            <w:vAlign w:val="bottom"/>
          </w:tcPr>
          <w:p>
            <w:pPr>
              <w:jc w:val="right"/>
              <w:ind w:right="27"/>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Commercial ASO &amp; other services (D)</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78</w:t>
            </w:r>
          </w:p>
        </w:tc>
        <w:tc>
          <w:tcPr>
            <w:tcW w:w="9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81</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w:t>
            </w: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-3.7 %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Military services (L)</w:t>
            </w:r>
          </w:p>
        </w:tc>
        <w:tc>
          <w:tcPr>
            <w:tcW w:w="84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122</w:t>
            </w:r>
          </w:p>
        </w:tc>
        <w:tc>
          <w:tcPr>
            <w:tcW w:w="9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121</w:t>
            </w:r>
          </w:p>
        </w:tc>
        <w:tc>
          <w:tcPr>
            <w:tcW w:w="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0.8 %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20" w:type="dxa"/>
            <w:vAlign w:val="bottom"/>
            <w:tcBorders>
              <w:right w:val="single" w:sz="8" w:color="auto"/>
            </w:tcBorders>
          </w:tcPr>
          <w:p>
            <w:pPr>
              <w:ind w:left="440"/>
              <w:spacing w:after="0" w:line="124" w:lineRule="exact"/>
              <w:rPr>
                <w:sz w:val="20"/>
                <w:szCs w:val="20"/>
                <w:color w:val="auto"/>
              </w:rPr>
            </w:pPr>
            <w:r>
              <w:rPr>
                <w:rFonts w:ascii="Arial" w:cs="Arial" w:eastAsia="Arial" w:hAnsi="Arial"/>
                <w:sz w:val="11"/>
                <w:szCs w:val="11"/>
                <w:b w:val="1"/>
                <w:bCs w:val="1"/>
                <w:color w:val="auto"/>
              </w:rPr>
              <w:t>Total Group and Specialty</w:t>
            </w:r>
          </w:p>
        </w:tc>
        <w:tc>
          <w:tcPr>
            <w:tcW w:w="84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1,733</w:t>
            </w:r>
          </w:p>
        </w:tc>
        <w:tc>
          <w:tcPr>
            <w:tcW w:w="9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1,860</w:t>
            </w:r>
          </w:p>
        </w:tc>
        <w:tc>
          <w:tcPr>
            <w:tcW w:w="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w:t>
            </w:r>
          </w:p>
        </w:tc>
        <w:tc>
          <w:tcPr>
            <w:tcW w:w="9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-6.8 %</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20" w:type="dxa"/>
            <w:vAlign w:val="bottom"/>
            <w:tcBorders>
              <w:right w:val="single" w:sz="8" w:color="auto"/>
            </w:tcBorders>
          </w:tcPr>
          <w:p>
            <w:pPr>
              <w:ind w:left="80"/>
              <w:spacing w:after="0" w:line="122" w:lineRule="exact"/>
              <w:rPr>
                <w:sz w:val="20"/>
                <w:szCs w:val="20"/>
                <w:color w:val="auto"/>
              </w:rPr>
            </w:pPr>
            <w:r>
              <w:rPr>
                <w:rFonts w:ascii="Arial" w:cs="Arial" w:eastAsia="Arial" w:hAnsi="Arial"/>
                <w:sz w:val="11"/>
                <w:szCs w:val="11"/>
                <w:b w:val="1"/>
                <w:bCs w:val="1"/>
                <w:color w:val="auto"/>
              </w:rPr>
              <w:t>Healthcare Services</w:t>
            </w:r>
          </w:p>
        </w:tc>
        <w:tc>
          <w:tcPr>
            <w:tcW w:w="840" w:type="dxa"/>
            <w:vAlign w:val="bottom"/>
          </w:tcPr>
          <w:p>
            <w:pPr>
              <w:spacing w:after="0"/>
              <w:rPr>
                <w:sz w:val="10"/>
                <w:szCs w:val="10"/>
                <w:color w:val="auto"/>
              </w:rPr>
            </w:pPr>
          </w:p>
        </w:tc>
        <w:tc>
          <w:tcPr>
            <w:tcW w:w="460" w:type="dxa"/>
            <w:vAlign w:val="bottom"/>
            <w:tcBorders>
              <w:right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366092"/>
              </w:rPr>
              <w:t>6,373</w:t>
            </w:r>
          </w:p>
        </w:tc>
        <w:tc>
          <w:tcPr>
            <w:tcW w:w="9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Pharmacy solutions</w:t>
            </w:r>
          </w:p>
        </w:tc>
        <w:tc>
          <w:tcPr>
            <w:tcW w:w="840" w:type="dxa"/>
            <w:vAlign w:val="bottom"/>
          </w:tcPr>
          <w:p>
            <w:pPr>
              <w:spacing w:after="0"/>
              <w:rPr>
                <w:sz w:val="12"/>
                <w:szCs w:val="12"/>
                <w:color w:val="auto"/>
              </w:rPr>
            </w:pPr>
          </w:p>
        </w:tc>
        <w:tc>
          <w:tcPr>
            <w:tcW w:w="460" w:type="dxa"/>
            <w:vAlign w:val="bottom"/>
            <w:tcBorders>
              <w:right w:val="single" w:sz="8" w:color="auto"/>
            </w:tcBorders>
            <w:vMerge w:val="continue"/>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6,261</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112</w:t>
            </w: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1.8 %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Provider services</w:t>
            </w:r>
          </w:p>
        </w:tc>
        <w:tc>
          <w:tcPr>
            <w:tcW w:w="840" w:type="dxa"/>
            <w:vAlign w:val="bottom"/>
          </w:tcPr>
          <w:p>
            <w:pPr>
              <w:spacing w:after="0"/>
              <w:rPr>
                <w:sz w:val="12"/>
                <w:szCs w:val="12"/>
                <w:color w:val="auto"/>
              </w:rPr>
            </w:pPr>
          </w:p>
        </w:tc>
        <w:tc>
          <w:tcPr>
            <w:tcW w:w="46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677</w:t>
            </w:r>
          </w:p>
        </w:tc>
        <w:tc>
          <w:tcPr>
            <w:tcW w:w="90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652</w:t>
            </w: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25</w:t>
            </w: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3.8 %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2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Clinical programs</w:t>
            </w:r>
          </w:p>
        </w:tc>
        <w:tc>
          <w:tcPr>
            <w:tcW w:w="84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147</w:t>
            </w:r>
          </w:p>
        </w:tc>
        <w:tc>
          <w:tcPr>
            <w:tcW w:w="9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172</w:t>
            </w:r>
          </w:p>
        </w:tc>
        <w:tc>
          <w:tcPr>
            <w:tcW w:w="6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w:t>
            </w:r>
          </w:p>
        </w:tc>
        <w:tc>
          <w:tcPr>
            <w:tcW w:w="9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-14.5 %</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220" w:type="dxa"/>
            <w:vAlign w:val="bottom"/>
            <w:tcBorders>
              <w:right w:val="single" w:sz="8" w:color="auto"/>
            </w:tcBorders>
          </w:tcPr>
          <w:p>
            <w:pPr>
              <w:ind w:left="440"/>
              <w:spacing w:after="0" w:line="124" w:lineRule="exact"/>
              <w:rPr>
                <w:sz w:val="20"/>
                <w:szCs w:val="20"/>
                <w:color w:val="auto"/>
              </w:rPr>
            </w:pPr>
            <w:r>
              <w:rPr>
                <w:rFonts w:ascii="Arial" w:cs="Arial" w:eastAsia="Arial" w:hAnsi="Arial"/>
                <w:sz w:val="11"/>
                <w:szCs w:val="11"/>
                <w:b w:val="1"/>
                <w:bCs w:val="1"/>
                <w:color w:val="auto"/>
              </w:rPr>
              <w:t>Total Healthcare Services</w:t>
            </w:r>
          </w:p>
        </w:tc>
        <w:tc>
          <w:tcPr>
            <w:tcW w:w="84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366092"/>
              </w:rPr>
              <w:t>7,197</w:t>
            </w:r>
          </w:p>
        </w:tc>
        <w:tc>
          <w:tcPr>
            <w:tcW w:w="9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7,085</w:t>
            </w:r>
          </w:p>
        </w:tc>
        <w:tc>
          <w:tcPr>
            <w:tcW w:w="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w:t>
            </w:r>
          </w:p>
        </w:tc>
        <w:tc>
          <w:tcPr>
            <w:tcW w:w="9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1.6 %</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S-9</w:t>
      </w:r>
    </w:p>
    <w:p>
      <w:pPr>
        <w:sectPr>
          <w:pgSz w:w="11900" w:h="16838" w:orient="portrait"/>
          <w:cols w:equalWidth="0" w:num="1">
            <w:col w:w="11300"/>
          </w:cols>
          <w:pgMar w:left="300" w:top="654" w:right="299" w:bottom="1440" w:gutter="0" w:footer="0" w:header="0"/>
        </w:sectPr>
      </w:pPr>
    </w:p>
    <w:bookmarkStart w:id="40" w:name="page41"/>
    <w:bookmarkEnd w:id="40"/>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Healthcare Services Segment and Provider Partner Metrics</w:t>
      </w:r>
    </w:p>
    <w:p>
      <w:pPr>
        <w:sectPr>
          <w:pgSz w:w="11900" w:h="16838" w:orient="portrait"/>
          <w:cols w:equalWidth="0" w:num="1">
            <w:col w:w="11260"/>
          </w:cols>
          <w:pgMar w:left="300" w:top="789" w:right="3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Primary Care Providers: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1"/>
          <w:szCs w:val="11"/>
          <w:color w:val="auto"/>
        </w:rPr>
        <w:t>Shared Risk (I)</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1"/>
          <w:szCs w:val="11"/>
          <w:color w:val="auto"/>
        </w:rPr>
        <w:t>Proprietary</w:t>
      </w:r>
    </w:p>
    <w:p>
      <w:pPr>
        <w:spacing w:after="0" w:line="18" w:lineRule="exact"/>
        <w:rPr>
          <w:sz w:val="20"/>
          <w:szCs w:val="20"/>
          <w:color w:val="auto"/>
        </w:rPr>
      </w:pPr>
    </w:p>
    <w:p>
      <w:pPr>
        <w:ind w:left="440"/>
        <w:spacing w:after="0"/>
        <w:rPr>
          <w:sz w:val="20"/>
          <w:szCs w:val="20"/>
          <w:color w:val="auto"/>
        </w:rPr>
      </w:pPr>
      <w:r>
        <w:rPr>
          <w:rFonts w:ascii="Arial" w:cs="Arial" w:eastAsia="Arial" w:hAnsi="Arial"/>
          <w:sz w:val="11"/>
          <w:szCs w:val="11"/>
          <w:color w:val="auto"/>
        </w:rPr>
        <w:t>Contracted</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1"/>
          <w:szCs w:val="11"/>
          <w:color w:val="auto"/>
        </w:rPr>
        <w:t>Path to Risk (J)</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1"/>
          <w:szCs w:val="11"/>
          <w:b w:val="1"/>
          <w:bCs w:val="1"/>
          <w:color w:val="auto"/>
        </w:rPr>
        <w:t>Total Value-based</w:t>
      </w:r>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Care Management Statistics:</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1"/>
          <w:szCs w:val="11"/>
          <w:color w:val="auto"/>
        </w:rPr>
        <w:t>Members enrolled in a Humana care management program (N)</w:t>
      </w:r>
    </w:p>
    <w:p>
      <w:pPr>
        <w:spacing w:after="0" w:line="18" w:lineRule="exact"/>
        <w:rPr>
          <w:sz w:val="20"/>
          <w:szCs w:val="20"/>
          <w:color w:val="auto"/>
        </w:rPr>
      </w:pPr>
    </w:p>
    <w:p>
      <w:pPr>
        <w:ind w:left="220"/>
        <w:spacing w:after="0" w:line="225" w:lineRule="auto"/>
        <w:rPr>
          <w:sz w:val="20"/>
          <w:szCs w:val="20"/>
          <w:color w:val="auto"/>
        </w:rPr>
      </w:pPr>
      <w:r>
        <w:rPr>
          <w:rFonts w:ascii="Arial" w:cs="Arial" w:eastAsia="Arial" w:hAnsi="Arial"/>
          <w:sz w:val="11"/>
          <w:szCs w:val="11"/>
          <w:color w:val="auto"/>
        </w:rPr>
        <w:t>Number of high-risk discharges enrolled in a post-discharge care management program (O)</w:t>
      </w: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Primary Care Centers (P)</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1"/>
          <w:szCs w:val="11"/>
          <w:color w:val="auto"/>
        </w:rPr>
        <w:t>Humana's Care Delivery Subsidiaries</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1"/>
          <w:szCs w:val="11"/>
          <w:color w:val="auto"/>
        </w:rPr>
        <w:t>Joint Venture and Alliance Provider Partners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5"/>
        </w:trPr>
        <w:tc>
          <w:tcPr>
            <w:tcW w:w="1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366092"/>
                <w:w w:val="97"/>
              </w:rPr>
              <w:t>March 31, 2021</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6"/>
              </w:rPr>
              <w:t>March 31, 2020</w:t>
            </w:r>
          </w:p>
        </w:tc>
        <w:tc>
          <w:tcPr>
            <w:tcW w:w="80" w:type="dxa"/>
            <w:vAlign w:val="bottom"/>
          </w:tcPr>
          <w:p>
            <w:pPr>
              <w:spacing w:after="0"/>
              <w:rPr>
                <w:sz w:val="12"/>
                <w:szCs w:val="12"/>
                <w:color w:val="auto"/>
              </w:rPr>
            </w:pPr>
          </w:p>
        </w:tc>
        <w:tc>
          <w:tcPr>
            <w:tcW w:w="1180" w:type="dxa"/>
            <w:vAlign w:val="bottom"/>
            <w:tcBorders>
              <w:bottom w:val="single" w:sz="8" w:color="auto"/>
            </w:tcBorders>
          </w:tcPr>
          <w:p>
            <w:pPr>
              <w:jc w:val="right"/>
              <w:ind w:right="286"/>
              <w:spacing w:after="0"/>
              <w:rPr>
                <w:sz w:val="20"/>
                <w:szCs w:val="20"/>
                <w:color w:val="auto"/>
              </w:rPr>
            </w:pPr>
            <w:r>
              <w:rPr>
                <w:rFonts w:ascii="Arial" w:cs="Arial" w:eastAsia="Arial" w:hAnsi="Arial"/>
                <w:sz w:val="11"/>
                <w:szCs w:val="11"/>
                <w:color w:val="auto"/>
              </w:rPr>
              <w:t>Difference</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December 31, 2020</w:t>
            </w:r>
          </w:p>
        </w:tc>
        <w:tc>
          <w:tcPr>
            <w:tcW w:w="80" w:type="dxa"/>
            <w:vAlign w:val="bottom"/>
          </w:tcPr>
          <w:p>
            <w:pPr>
              <w:spacing w:after="0"/>
              <w:rPr>
                <w:sz w:val="12"/>
                <w:szCs w:val="12"/>
                <w:color w:val="auto"/>
              </w:rPr>
            </w:pPr>
          </w:p>
        </w:tc>
        <w:tc>
          <w:tcPr>
            <w:tcW w:w="118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Difference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200" w:type="dxa"/>
            <w:vAlign w:val="bottom"/>
            <w:tcBorders>
              <w:left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1,000</w:t>
            </w:r>
          </w:p>
        </w:tc>
        <w:tc>
          <w:tcPr>
            <w:tcW w:w="1140" w:type="dxa"/>
            <w:vAlign w:val="bottom"/>
          </w:tcPr>
          <w:p>
            <w:pPr>
              <w:jc w:val="right"/>
              <w:spacing w:after="0"/>
              <w:rPr>
                <w:sz w:val="20"/>
                <w:szCs w:val="20"/>
                <w:color w:val="auto"/>
              </w:rPr>
            </w:pPr>
            <w:r>
              <w:rPr>
                <w:rFonts w:ascii="Arial" w:cs="Arial" w:eastAsia="Arial" w:hAnsi="Arial"/>
                <w:sz w:val="11"/>
                <w:szCs w:val="11"/>
                <w:color w:val="auto"/>
              </w:rPr>
              <w:t>1,000</w:t>
            </w:r>
          </w:p>
        </w:tc>
        <w:tc>
          <w:tcPr>
            <w:tcW w:w="80" w:type="dxa"/>
            <w:vAlign w:val="bottom"/>
          </w:tcPr>
          <w:p>
            <w:pPr>
              <w:spacing w:after="0"/>
              <w:rPr>
                <w:sz w:val="24"/>
                <w:szCs w:val="24"/>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 %</w:t>
            </w:r>
          </w:p>
        </w:tc>
        <w:tc>
          <w:tcPr>
            <w:tcW w:w="1180" w:type="dxa"/>
            <w:vAlign w:val="bottom"/>
          </w:tcPr>
          <w:p>
            <w:pPr>
              <w:jc w:val="right"/>
              <w:spacing w:after="0"/>
              <w:rPr>
                <w:sz w:val="20"/>
                <w:szCs w:val="20"/>
                <w:color w:val="auto"/>
              </w:rPr>
            </w:pPr>
            <w:r>
              <w:rPr>
                <w:rFonts w:ascii="Arial" w:cs="Arial" w:eastAsia="Arial" w:hAnsi="Arial"/>
                <w:sz w:val="11"/>
                <w:szCs w:val="11"/>
                <w:color w:val="auto"/>
              </w:rPr>
              <w:t>900</w:t>
            </w:r>
          </w:p>
        </w:tc>
        <w:tc>
          <w:tcPr>
            <w:tcW w:w="80" w:type="dxa"/>
            <w:vAlign w:val="bottom"/>
          </w:tcPr>
          <w:p>
            <w:pPr>
              <w:spacing w:after="0"/>
              <w:rPr>
                <w:sz w:val="24"/>
                <w:szCs w:val="24"/>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100</w:t>
            </w:r>
          </w:p>
        </w:tc>
        <w:tc>
          <w:tcPr>
            <w:tcW w:w="900" w:type="dxa"/>
            <w:vAlign w:val="bottom"/>
          </w:tcPr>
          <w:p>
            <w:pPr>
              <w:jc w:val="right"/>
              <w:spacing w:after="0"/>
              <w:rPr>
                <w:sz w:val="20"/>
                <w:szCs w:val="20"/>
                <w:color w:val="auto"/>
              </w:rPr>
            </w:pPr>
            <w:r>
              <w:rPr>
                <w:rFonts w:ascii="Arial" w:cs="Arial" w:eastAsia="Arial" w:hAnsi="Arial"/>
                <w:sz w:val="11"/>
                <w:szCs w:val="11"/>
                <w:color w:val="auto"/>
              </w:rPr>
              <w:t>11.1 %</w:t>
            </w:r>
          </w:p>
        </w:tc>
        <w:tc>
          <w:tcPr>
            <w:tcW w:w="0" w:type="dxa"/>
            <w:vAlign w:val="bottom"/>
          </w:tcPr>
          <w:p>
            <w:pPr>
              <w:spacing w:after="0"/>
              <w:rPr>
                <w:sz w:val="1"/>
                <w:szCs w:val="1"/>
                <w:color w:val="auto"/>
              </w:rPr>
            </w:pPr>
          </w:p>
        </w:tc>
      </w:tr>
      <w:tr>
        <w:trPr>
          <w:trHeight w:val="144"/>
        </w:trPr>
        <w:tc>
          <w:tcPr>
            <w:tcW w:w="1200" w:type="dxa"/>
            <w:vAlign w:val="bottom"/>
            <w:tcBorders>
              <w:left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25,700</w:t>
            </w:r>
          </w:p>
        </w:tc>
        <w:tc>
          <w:tcPr>
            <w:tcW w:w="1140" w:type="dxa"/>
            <w:vAlign w:val="bottom"/>
          </w:tcPr>
          <w:p>
            <w:pPr>
              <w:jc w:val="right"/>
              <w:spacing w:after="0"/>
              <w:rPr>
                <w:sz w:val="20"/>
                <w:szCs w:val="20"/>
                <w:color w:val="auto"/>
              </w:rPr>
            </w:pPr>
            <w:r>
              <w:rPr>
                <w:rFonts w:ascii="Arial" w:cs="Arial" w:eastAsia="Arial" w:hAnsi="Arial"/>
                <w:sz w:val="11"/>
                <w:szCs w:val="11"/>
                <w:color w:val="auto"/>
              </w:rPr>
              <w:t>21,200</w:t>
            </w:r>
          </w:p>
        </w:tc>
        <w:tc>
          <w:tcPr>
            <w:tcW w:w="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4,500</w:t>
            </w:r>
          </w:p>
        </w:tc>
        <w:tc>
          <w:tcPr>
            <w:tcW w:w="4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21.2 %</w:t>
            </w:r>
          </w:p>
        </w:tc>
        <w:tc>
          <w:tcPr>
            <w:tcW w:w="1180" w:type="dxa"/>
            <w:vAlign w:val="bottom"/>
          </w:tcPr>
          <w:p>
            <w:pPr>
              <w:jc w:val="right"/>
              <w:spacing w:after="0"/>
              <w:rPr>
                <w:sz w:val="20"/>
                <w:szCs w:val="20"/>
                <w:color w:val="auto"/>
              </w:rPr>
            </w:pPr>
            <w:r>
              <w:rPr>
                <w:rFonts w:ascii="Arial" w:cs="Arial" w:eastAsia="Arial" w:hAnsi="Arial"/>
                <w:sz w:val="11"/>
                <w:szCs w:val="11"/>
                <w:color w:val="auto"/>
              </w:rPr>
              <w:t>23,000</w:t>
            </w:r>
          </w:p>
        </w:tc>
        <w:tc>
          <w:tcPr>
            <w:tcW w:w="80" w:type="dxa"/>
            <w:vAlign w:val="bottom"/>
          </w:tcPr>
          <w:p>
            <w:pPr>
              <w:spacing w:after="0"/>
              <w:rPr>
                <w:sz w:val="12"/>
                <w:szCs w:val="12"/>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2,700</w:t>
            </w:r>
          </w:p>
        </w:tc>
        <w:tc>
          <w:tcPr>
            <w:tcW w:w="900" w:type="dxa"/>
            <w:vAlign w:val="bottom"/>
          </w:tcPr>
          <w:p>
            <w:pPr>
              <w:jc w:val="right"/>
              <w:spacing w:after="0"/>
              <w:rPr>
                <w:sz w:val="20"/>
                <w:szCs w:val="20"/>
                <w:color w:val="auto"/>
              </w:rPr>
            </w:pPr>
            <w:r>
              <w:rPr>
                <w:rFonts w:ascii="Arial" w:cs="Arial" w:eastAsia="Arial" w:hAnsi="Arial"/>
                <w:sz w:val="11"/>
                <w:szCs w:val="11"/>
                <w:color w:val="auto"/>
              </w:rPr>
              <w:t>11.7 %</w:t>
            </w:r>
          </w:p>
        </w:tc>
        <w:tc>
          <w:tcPr>
            <w:tcW w:w="0" w:type="dxa"/>
            <w:vAlign w:val="bottom"/>
          </w:tcPr>
          <w:p>
            <w:pPr>
              <w:spacing w:after="0"/>
              <w:rPr>
                <w:sz w:val="1"/>
                <w:szCs w:val="1"/>
                <w:color w:val="auto"/>
              </w:rPr>
            </w:pPr>
          </w:p>
        </w:tc>
      </w:tr>
      <w:tr>
        <w:trPr>
          <w:trHeight w:val="146"/>
        </w:trPr>
        <w:tc>
          <w:tcPr>
            <w:tcW w:w="1200" w:type="dxa"/>
            <w:vAlign w:val="bottom"/>
            <w:tcBorders>
              <w:left w:val="single" w:sz="8" w:color="auto"/>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44,900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43,700</w:t>
            </w:r>
          </w:p>
        </w:tc>
        <w:tc>
          <w:tcPr>
            <w:tcW w:w="80" w:type="dxa"/>
            <w:vAlign w:val="bottom"/>
          </w:tcPr>
          <w:p>
            <w:pPr>
              <w:spacing w:after="0"/>
              <w:rPr>
                <w:sz w:val="12"/>
                <w:szCs w:val="12"/>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1,200</w:t>
            </w:r>
          </w:p>
        </w:tc>
        <w:tc>
          <w:tcPr>
            <w:tcW w:w="4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2.7 %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43,900</w:t>
            </w:r>
          </w:p>
        </w:tc>
        <w:tc>
          <w:tcPr>
            <w:tcW w:w="80" w:type="dxa"/>
            <w:vAlign w:val="bottom"/>
          </w:tcPr>
          <w:p>
            <w:pPr>
              <w:spacing w:after="0"/>
              <w:rPr>
                <w:sz w:val="12"/>
                <w:szCs w:val="12"/>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1,000</w:t>
            </w:r>
          </w:p>
        </w:tc>
        <w:tc>
          <w:tcPr>
            <w:tcW w:w="900" w:type="dxa"/>
            <w:vAlign w:val="bottom"/>
          </w:tcPr>
          <w:p>
            <w:pPr>
              <w:jc w:val="right"/>
              <w:spacing w:after="0"/>
              <w:rPr>
                <w:sz w:val="20"/>
                <w:szCs w:val="20"/>
                <w:color w:val="auto"/>
              </w:rPr>
            </w:pPr>
            <w:r>
              <w:rPr>
                <w:rFonts w:ascii="Arial" w:cs="Arial" w:eastAsia="Arial" w:hAnsi="Arial"/>
                <w:sz w:val="11"/>
                <w:szCs w:val="11"/>
                <w:color w:val="auto"/>
              </w:rPr>
              <w:t>2.3 %</w:t>
            </w:r>
          </w:p>
        </w:tc>
        <w:tc>
          <w:tcPr>
            <w:tcW w:w="0" w:type="dxa"/>
            <w:vAlign w:val="bottom"/>
          </w:tcPr>
          <w:p>
            <w:pPr>
              <w:spacing w:after="0"/>
              <w:rPr>
                <w:sz w:val="1"/>
                <w:szCs w:val="1"/>
                <w:color w:val="auto"/>
              </w:rPr>
            </w:pPr>
          </w:p>
        </w:tc>
      </w:tr>
      <w:tr>
        <w:trPr>
          <w:trHeight w:val="154"/>
        </w:trPr>
        <w:tc>
          <w:tcPr>
            <w:tcW w:w="1200" w:type="dxa"/>
            <w:vAlign w:val="bottom"/>
            <w:tcBorders>
              <w:left w:val="single" w:sz="8" w:color="auto"/>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71,600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65,900</w:t>
            </w:r>
          </w:p>
        </w:tc>
        <w:tc>
          <w:tcPr>
            <w:tcW w:w="80" w:type="dxa"/>
            <w:vAlign w:val="bottom"/>
          </w:tcPr>
          <w:p>
            <w:pPr>
              <w:spacing w:after="0"/>
              <w:rPr>
                <w:sz w:val="13"/>
                <w:szCs w:val="13"/>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5,700</w:t>
            </w:r>
          </w:p>
        </w:tc>
        <w:tc>
          <w:tcPr>
            <w:tcW w:w="4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8.6 %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67,800</w:t>
            </w:r>
          </w:p>
        </w:tc>
        <w:tc>
          <w:tcPr>
            <w:tcW w:w="80" w:type="dxa"/>
            <w:vAlign w:val="bottom"/>
          </w:tcPr>
          <w:p>
            <w:pPr>
              <w:spacing w:after="0"/>
              <w:rPr>
                <w:sz w:val="13"/>
                <w:szCs w:val="13"/>
                <w:color w:val="auto"/>
              </w:rPr>
            </w:pPr>
          </w:p>
        </w:tc>
        <w:tc>
          <w:tcPr>
            <w:tcW w:w="11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3,800</w:t>
            </w:r>
          </w:p>
        </w:tc>
        <w:tc>
          <w:tcPr>
            <w:tcW w:w="900" w:type="dxa"/>
            <w:vAlign w:val="bottom"/>
          </w:tcPr>
          <w:p>
            <w:pPr>
              <w:jc w:val="right"/>
              <w:spacing w:after="0"/>
              <w:rPr>
                <w:sz w:val="20"/>
                <w:szCs w:val="20"/>
                <w:color w:val="auto"/>
              </w:rPr>
            </w:pPr>
            <w:r>
              <w:rPr>
                <w:rFonts w:ascii="Arial" w:cs="Arial" w:eastAsia="Arial" w:hAnsi="Arial"/>
                <w:sz w:val="11"/>
                <w:szCs w:val="11"/>
                <w:color w:val="auto"/>
              </w:rPr>
              <w:t>5.6 %</w:t>
            </w:r>
          </w:p>
        </w:tc>
        <w:tc>
          <w:tcPr>
            <w:tcW w:w="0" w:type="dxa"/>
            <w:vAlign w:val="bottom"/>
          </w:tcPr>
          <w:p>
            <w:pPr>
              <w:spacing w:after="0"/>
              <w:rPr>
                <w:sz w:val="1"/>
                <w:szCs w:val="1"/>
                <w:color w:val="auto"/>
              </w:rPr>
            </w:pPr>
          </w:p>
        </w:tc>
      </w:tr>
      <w:tr>
        <w:trPr>
          <w:trHeight w:val="614"/>
        </w:trPr>
        <w:tc>
          <w:tcPr>
            <w:tcW w:w="1200" w:type="dxa"/>
            <w:vAlign w:val="bottom"/>
            <w:tcBorders>
              <w:left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925,100</w:t>
            </w:r>
          </w:p>
        </w:tc>
        <w:tc>
          <w:tcPr>
            <w:tcW w:w="1140" w:type="dxa"/>
            <w:vAlign w:val="bottom"/>
          </w:tcPr>
          <w:p>
            <w:pPr>
              <w:jc w:val="right"/>
              <w:spacing w:after="0"/>
              <w:rPr>
                <w:sz w:val="20"/>
                <w:szCs w:val="20"/>
                <w:color w:val="auto"/>
              </w:rPr>
            </w:pPr>
            <w:r>
              <w:rPr>
                <w:rFonts w:ascii="Arial" w:cs="Arial" w:eastAsia="Arial" w:hAnsi="Arial"/>
                <w:sz w:val="11"/>
                <w:szCs w:val="11"/>
                <w:color w:val="auto"/>
              </w:rPr>
              <w:t>899,700</w:t>
            </w:r>
          </w:p>
        </w:tc>
        <w:tc>
          <w:tcPr>
            <w:tcW w:w="80" w:type="dxa"/>
            <w:vAlign w:val="bottom"/>
          </w:tcPr>
          <w:p>
            <w:pPr>
              <w:spacing w:after="0"/>
              <w:rPr>
                <w:sz w:val="24"/>
                <w:szCs w:val="24"/>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25,400</w:t>
            </w:r>
          </w:p>
        </w:tc>
        <w:tc>
          <w:tcPr>
            <w:tcW w:w="4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2.8 %</w:t>
            </w:r>
          </w:p>
        </w:tc>
        <w:tc>
          <w:tcPr>
            <w:tcW w:w="1180" w:type="dxa"/>
            <w:vAlign w:val="bottom"/>
          </w:tcPr>
          <w:p>
            <w:pPr>
              <w:jc w:val="right"/>
              <w:spacing w:after="0"/>
              <w:rPr>
                <w:sz w:val="20"/>
                <w:szCs w:val="20"/>
                <w:color w:val="auto"/>
              </w:rPr>
            </w:pPr>
            <w:r>
              <w:rPr>
                <w:rFonts w:ascii="Arial" w:cs="Arial" w:eastAsia="Arial" w:hAnsi="Arial"/>
                <w:sz w:val="11"/>
                <w:szCs w:val="11"/>
                <w:color w:val="auto"/>
              </w:rPr>
              <w:t>910,600</w:t>
            </w:r>
          </w:p>
        </w:tc>
        <w:tc>
          <w:tcPr>
            <w:tcW w:w="80" w:type="dxa"/>
            <w:vAlign w:val="bottom"/>
          </w:tcPr>
          <w:p>
            <w:pPr>
              <w:spacing w:after="0"/>
              <w:rPr>
                <w:sz w:val="24"/>
                <w:szCs w:val="24"/>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14,500</w:t>
            </w:r>
          </w:p>
        </w:tc>
        <w:tc>
          <w:tcPr>
            <w:tcW w:w="900" w:type="dxa"/>
            <w:vAlign w:val="bottom"/>
          </w:tcPr>
          <w:p>
            <w:pPr>
              <w:jc w:val="right"/>
              <w:spacing w:after="0"/>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252"/>
        </w:trPr>
        <w:tc>
          <w:tcPr>
            <w:tcW w:w="1200" w:type="dxa"/>
            <w:vAlign w:val="bottom"/>
            <w:tcBorders>
              <w:left w:val="single" w:sz="8" w:color="auto"/>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b w:val="1"/>
                <w:bCs w:val="1"/>
                <w:color w:val="00497F"/>
              </w:rPr>
              <w:t>72,200</w:t>
            </w:r>
          </w:p>
        </w:tc>
        <w:tc>
          <w:tcPr>
            <w:tcW w:w="1140" w:type="dxa"/>
            <w:vAlign w:val="bottom"/>
          </w:tcPr>
          <w:p>
            <w:pPr>
              <w:jc w:val="right"/>
              <w:spacing w:after="0"/>
              <w:rPr>
                <w:sz w:val="20"/>
                <w:szCs w:val="20"/>
                <w:color w:val="auto"/>
              </w:rPr>
            </w:pPr>
            <w:r>
              <w:rPr>
                <w:rFonts w:ascii="Arial" w:cs="Arial" w:eastAsia="Arial" w:hAnsi="Arial"/>
                <w:sz w:val="11"/>
                <w:szCs w:val="11"/>
                <w:color w:val="auto"/>
              </w:rPr>
              <w:t>64,700</w:t>
            </w:r>
          </w:p>
        </w:tc>
        <w:tc>
          <w:tcPr>
            <w:tcW w:w="80" w:type="dxa"/>
            <w:vAlign w:val="bottom"/>
          </w:tcPr>
          <w:p>
            <w:pPr>
              <w:spacing w:after="0"/>
              <w:rPr>
                <w:sz w:val="21"/>
                <w:szCs w:val="21"/>
                <w:color w:val="auto"/>
              </w:rPr>
            </w:pPr>
          </w:p>
        </w:tc>
        <w:tc>
          <w:tcPr>
            <w:tcW w:w="1180" w:type="dxa"/>
            <w:vAlign w:val="bottom"/>
          </w:tcPr>
          <w:p>
            <w:pPr>
              <w:jc w:val="right"/>
              <w:ind w:right="6"/>
              <w:spacing w:after="0"/>
              <w:rPr>
                <w:sz w:val="20"/>
                <w:szCs w:val="20"/>
                <w:color w:val="auto"/>
              </w:rPr>
            </w:pPr>
            <w:r>
              <w:rPr>
                <w:rFonts w:ascii="Arial" w:cs="Arial" w:eastAsia="Arial" w:hAnsi="Arial"/>
                <w:sz w:val="11"/>
                <w:szCs w:val="11"/>
                <w:color w:val="auto"/>
              </w:rPr>
              <w:t>7,500</w:t>
            </w:r>
          </w:p>
        </w:tc>
        <w:tc>
          <w:tcPr>
            <w:tcW w:w="4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11.6 %</w:t>
            </w:r>
          </w:p>
        </w:tc>
        <w:tc>
          <w:tcPr>
            <w:tcW w:w="1180" w:type="dxa"/>
            <w:vAlign w:val="bottom"/>
          </w:tcPr>
          <w:p>
            <w:pPr>
              <w:jc w:val="right"/>
              <w:spacing w:after="0"/>
              <w:rPr>
                <w:sz w:val="20"/>
                <w:szCs w:val="20"/>
                <w:color w:val="auto"/>
              </w:rPr>
            </w:pPr>
            <w:r>
              <w:rPr>
                <w:rFonts w:ascii="Arial" w:cs="Arial" w:eastAsia="Arial" w:hAnsi="Arial"/>
                <w:sz w:val="11"/>
                <w:szCs w:val="11"/>
                <w:color w:val="auto"/>
              </w:rPr>
              <w:t>73,600</w:t>
            </w: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(1,400)</w:t>
            </w:r>
          </w:p>
        </w:tc>
        <w:tc>
          <w:tcPr>
            <w:tcW w:w="900" w:type="dxa"/>
            <w:vAlign w:val="bottom"/>
          </w:tcPr>
          <w:p>
            <w:pPr>
              <w:jc w:val="right"/>
              <w:spacing w:after="0"/>
              <w:rPr>
                <w:sz w:val="20"/>
                <w:szCs w:val="20"/>
                <w:color w:val="auto"/>
              </w:rPr>
            </w:pPr>
            <w:r>
              <w:rPr>
                <w:rFonts w:ascii="Arial" w:cs="Arial" w:eastAsia="Arial" w:hAnsi="Arial"/>
                <w:sz w:val="11"/>
                <w:szCs w:val="11"/>
                <w:color w:val="auto"/>
              </w:rPr>
              <w:t>-1.9 %</w:t>
            </w:r>
          </w:p>
        </w:tc>
        <w:tc>
          <w:tcPr>
            <w:tcW w:w="0" w:type="dxa"/>
            <w:vAlign w:val="bottom"/>
          </w:tcPr>
          <w:p>
            <w:pPr>
              <w:spacing w:after="0"/>
              <w:rPr>
                <w:sz w:val="1"/>
                <w:szCs w:val="1"/>
                <w:color w:val="auto"/>
              </w:rPr>
            </w:pPr>
          </w:p>
        </w:tc>
      </w:tr>
      <w:tr>
        <w:trPr>
          <w:trHeight w:val="423"/>
        </w:trPr>
        <w:tc>
          <w:tcPr>
            <w:tcW w:w="1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ind w:left="520"/>
              <w:spacing w:after="0"/>
              <w:rPr>
                <w:sz w:val="20"/>
                <w:szCs w:val="20"/>
                <w:color w:val="auto"/>
              </w:rPr>
            </w:pPr>
            <w:r>
              <w:rPr>
                <w:rFonts w:ascii="Arial" w:cs="Arial" w:eastAsia="Arial" w:hAnsi="Arial"/>
                <w:sz w:val="11"/>
                <w:szCs w:val="11"/>
                <w:b w:val="1"/>
                <w:bCs w:val="1"/>
                <w:color w:val="366092"/>
              </w:rPr>
              <w:t>As of March 31, 2021</w:t>
            </w:r>
          </w:p>
        </w:tc>
        <w:tc>
          <w:tcPr>
            <w:tcW w:w="48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200" w:type="dxa"/>
            <w:vAlign w:val="bottom"/>
            <w:vMerge w:val="restart"/>
          </w:tcPr>
          <w:p>
            <w:pPr>
              <w:jc w:val="center"/>
              <w:spacing w:after="0"/>
              <w:rPr>
                <w:sz w:val="20"/>
                <w:szCs w:val="20"/>
                <w:color w:val="auto"/>
              </w:rPr>
            </w:pPr>
            <w:r>
              <w:rPr>
                <w:rFonts w:ascii="Arial" w:cs="Arial" w:eastAsia="Arial" w:hAnsi="Arial"/>
                <w:sz w:val="11"/>
                <w:szCs w:val="11"/>
                <w:b w:val="1"/>
                <w:bCs w:val="1"/>
                <w:color w:val="366092"/>
                <w:w w:val="97"/>
              </w:rPr>
              <w:t>Centers</w:t>
            </w:r>
          </w:p>
        </w:tc>
        <w:tc>
          <w:tcPr>
            <w:tcW w:w="1220" w:type="dxa"/>
            <w:vAlign w:val="bottom"/>
            <w:gridSpan w:val="2"/>
          </w:tcPr>
          <w:p>
            <w:pPr>
              <w:ind w:left="340"/>
              <w:spacing w:after="0" w:line="99" w:lineRule="exact"/>
              <w:rPr>
                <w:sz w:val="20"/>
                <w:szCs w:val="20"/>
                <w:color w:val="auto"/>
              </w:rPr>
            </w:pPr>
            <w:r>
              <w:rPr>
                <w:rFonts w:ascii="Arial" w:cs="Arial" w:eastAsia="Arial" w:hAnsi="Arial"/>
                <w:sz w:val="11"/>
                <w:szCs w:val="11"/>
                <w:b w:val="1"/>
                <w:bCs w:val="1"/>
                <w:color w:val="366092"/>
              </w:rPr>
              <w:t>Primary</w:t>
            </w:r>
          </w:p>
        </w:tc>
        <w:tc>
          <w:tcPr>
            <w:tcW w:w="1600" w:type="dxa"/>
            <w:vAlign w:val="bottom"/>
            <w:gridSpan w:val="2"/>
            <w:vMerge w:val="restart"/>
          </w:tcPr>
          <w:p>
            <w:pPr>
              <w:jc w:val="center"/>
              <w:ind w:left="446"/>
              <w:spacing w:after="0"/>
              <w:rPr>
                <w:sz w:val="20"/>
                <w:szCs w:val="20"/>
                <w:color w:val="auto"/>
              </w:rPr>
            </w:pPr>
            <w:r>
              <w:rPr>
                <w:rFonts w:ascii="Arial" w:cs="Arial" w:eastAsia="Arial" w:hAnsi="Arial"/>
                <w:sz w:val="11"/>
                <w:szCs w:val="11"/>
                <w:b w:val="1"/>
                <w:bCs w:val="1"/>
                <w:color w:val="366092"/>
                <w:w w:val="99"/>
              </w:rPr>
              <w:t>Patients Served</w:t>
            </w:r>
          </w:p>
        </w:tc>
        <w:tc>
          <w:tcPr>
            <w:tcW w:w="4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20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366092"/>
                <w:w w:val="97"/>
              </w:rPr>
              <w:t>Care Providers</w:t>
            </w:r>
          </w:p>
        </w:tc>
        <w:tc>
          <w:tcPr>
            <w:tcW w:w="1600" w:type="dxa"/>
            <w:vAlign w:val="bottom"/>
            <w:tcBorders>
              <w:bottom w:val="single" w:sz="8" w:color="auto"/>
            </w:tcBorders>
            <w:gridSpan w:val="2"/>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200" w:type="dxa"/>
            <w:vAlign w:val="bottom"/>
          </w:tcPr>
          <w:p>
            <w:pPr>
              <w:jc w:val="center"/>
              <w:spacing w:after="0"/>
              <w:rPr>
                <w:sz w:val="20"/>
                <w:szCs w:val="20"/>
                <w:color w:val="auto"/>
              </w:rPr>
            </w:pPr>
            <w:r>
              <w:rPr>
                <w:rFonts w:ascii="Arial" w:cs="Arial" w:eastAsia="Arial" w:hAnsi="Arial"/>
                <w:sz w:val="11"/>
                <w:szCs w:val="11"/>
                <w:b w:val="1"/>
                <w:bCs w:val="1"/>
                <w:color w:val="366092"/>
                <w:w w:val="97"/>
              </w:rPr>
              <w:t>170</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366092"/>
                <w:w w:val="97"/>
              </w:rPr>
              <w:t>700</w:t>
            </w:r>
          </w:p>
        </w:tc>
        <w:tc>
          <w:tcPr>
            <w:tcW w:w="80" w:type="dxa"/>
            <w:vAlign w:val="bottom"/>
          </w:tcPr>
          <w:p>
            <w:pPr>
              <w:spacing w:after="0"/>
              <w:rPr>
                <w:sz w:val="13"/>
                <w:szCs w:val="13"/>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366092"/>
              </w:rPr>
              <w:t>252,700</w:t>
            </w:r>
          </w:p>
        </w:tc>
        <w:tc>
          <w:tcPr>
            <w:tcW w:w="4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0" w:type="dxa"/>
            <w:vAlign w:val="bottom"/>
          </w:tcPr>
          <w:p>
            <w:pPr>
              <w:jc w:val="center"/>
              <w:spacing w:after="0"/>
              <w:rPr>
                <w:sz w:val="20"/>
                <w:szCs w:val="20"/>
                <w:color w:val="auto"/>
              </w:rPr>
            </w:pPr>
            <w:r>
              <w:rPr>
                <w:rFonts w:ascii="Arial" w:cs="Arial" w:eastAsia="Arial" w:hAnsi="Arial"/>
                <w:sz w:val="11"/>
                <w:szCs w:val="11"/>
                <w:b w:val="1"/>
                <w:bCs w:val="1"/>
                <w:color w:val="366092"/>
                <w:w w:val="97"/>
              </w:rPr>
              <w:t>155</w:t>
            </w:r>
          </w:p>
        </w:tc>
        <w:tc>
          <w:tcPr>
            <w:tcW w:w="1140" w:type="dxa"/>
            <w:vAlign w:val="bottom"/>
          </w:tcPr>
          <w:p>
            <w:pPr>
              <w:jc w:val="center"/>
              <w:spacing w:after="0"/>
              <w:rPr>
                <w:sz w:val="20"/>
                <w:szCs w:val="20"/>
                <w:color w:val="auto"/>
              </w:rPr>
            </w:pPr>
            <w:r>
              <w:rPr>
                <w:rFonts w:ascii="Arial" w:cs="Arial" w:eastAsia="Arial" w:hAnsi="Arial"/>
                <w:sz w:val="11"/>
                <w:szCs w:val="11"/>
                <w:b w:val="1"/>
                <w:bCs w:val="1"/>
                <w:color w:val="366092"/>
                <w:w w:val="97"/>
              </w:rPr>
              <w:t>300</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320" w:space="100"/>
            <w:col w:w="7840"/>
          </w:cols>
          <w:pgMar w:left="300" w:top="789" w:right="339" w:bottom="1440" w:gutter="0" w:footer="0" w:header="0"/>
          <w:type w:val="continuous"/>
        </w:sectPr>
      </w:pP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S-10</w:t>
      </w:r>
    </w:p>
    <w:p>
      <w:pPr>
        <w:sectPr>
          <w:pgSz w:w="11900" w:h="16838" w:orient="portrait"/>
          <w:cols w:equalWidth="0" w:num="1">
            <w:col w:w="11260"/>
          </w:cols>
          <w:pgMar w:left="300" w:top="789"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Healthcare Services Segment Metrics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Script volume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40" w:type="dxa"/>
            <w:vAlign w:val="bottom"/>
            <w:tcBorders>
              <w:right w:val="single" w:sz="8" w:color="auto"/>
            </w:tcBorders>
          </w:tcPr>
          <w:p>
            <w:pPr>
              <w:spacing w:after="0"/>
              <w:rPr>
                <w:sz w:val="10"/>
                <w:szCs w:val="10"/>
                <w:color w:val="auto"/>
              </w:rPr>
            </w:pPr>
          </w:p>
        </w:tc>
        <w:tc>
          <w:tcPr>
            <w:tcW w:w="1880" w:type="dxa"/>
            <w:vAlign w:val="bottom"/>
            <w:tcBorders>
              <w:top w:val="single" w:sz="8" w:color="auto"/>
              <w:right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366092"/>
              </w:rPr>
              <w:t>For the three months ended</w:t>
            </w:r>
          </w:p>
        </w:tc>
        <w:tc>
          <w:tcPr>
            <w:tcW w:w="196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366092"/>
                <w:w w:val="98"/>
              </w:rPr>
              <w:t>For the three months ended</w:t>
            </w:r>
          </w:p>
        </w:tc>
        <w:tc>
          <w:tcPr>
            <w:tcW w:w="940" w:type="dxa"/>
            <w:vAlign w:val="bottom"/>
          </w:tcPr>
          <w:p>
            <w:pPr>
              <w:jc w:val="center"/>
              <w:spacing w:after="0" w:line="115" w:lineRule="exact"/>
              <w:rPr>
                <w:sz w:val="20"/>
                <w:szCs w:val="20"/>
                <w:color w:val="auto"/>
              </w:rPr>
            </w:pPr>
            <w:r>
              <w:rPr>
                <w:rFonts w:ascii="Arial" w:cs="Arial" w:eastAsia="Arial" w:hAnsi="Arial"/>
                <w:sz w:val="11"/>
                <w:szCs w:val="11"/>
                <w:color w:val="auto"/>
                <w:w w:val="95"/>
              </w:rPr>
              <w:t>Year-over-Year</w:t>
            </w:r>
          </w:p>
        </w:tc>
        <w:tc>
          <w:tcPr>
            <w:tcW w:w="980" w:type="dxa"/>
            <w:vAlign w:val="bottom"/>
          </w:tcPr>
          <w:p>
            <w:pPr>
              <w:spacing w:after="0"/>
              <w:rPr>
                <w:sz w:val="10"/>
                <w:szCs w:val="10"/>
                <w:color w:val="auto"/>
              </w:rPr>
            </w:pPr>
          </w:p>
        </w:tc>
        <w:tc>
          <w:tcPr>
            <w:tcW w:w="1960" w:type="dxa"/>
            <w:vAlign w:val="bottom"/>
            <w:gridSpan w:val="2"/>
          </w:tcPr>
          <w:p>
            <w:pPr>
              <w:jc w:val="center"/>
              <w:ind w:right="60"/>
              <w:spacing w:after="0" w:line="115" w:lineRule="exact"/>
              <w:rPr>
                <w:sz w:val="20"/>
                <w:szCs w:val="20"/>
                <w:color w:val="auto"/>
              </w:rPr>
            </w:pPr>
            <w:r>
              <w:rPr>
                <w:rFonts w:ascii="Arial" w:cs="Arial" w:eastAsia="Arial" w:hAnsi="Arial"/>
                <w:sz w:val="11"/>
                <w:szCs w:val="11"/>
                <w:color w:val="auto"/>
                <w:w w:val="98"/>
              </w:rPr>
              <w:t>For the three months ended</w:t>
            </w:r>
          </w:p>
        </w:tc>
        <w:tc>
          <w:tcPr>
            <w:tcW w:w="960" w:type="dxa"/>
            <w:vAlign w:val="bottom"/>
          </w:tcPr>
          <w:p>
            <w:pPr>
              <w:jc w:val="center"/>
              <w:spacing w:after="0" w:line="115" w:lineRule="exact"/>
              <w:rPr>
                <w:sz w:val="20"/>
                <w:szCs w:val="20"/>
                <w:color w:val="auto"/>
              </w:rPr>
            </w:pPr>
            <w:r>
              <w:rPr>
                <w:rFonts w:ascii="Arial" w:cs="Arial" w:eastAsia="Arial" w:hAnsi="Arial"/>
                <w:sz w:val="11"/>
                <w:szCs w:val="11"/>
                <w:color w:val="auto"/>
                <w:w w:val="99"/>
              </w:rPr>
              <w:t>Sequential</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64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b w:val="1"/>
                <w:bCs w:val="1"/>
                <w:color w:val="auto"/>
              </w:rPr>
              <w:t>Pharmacy:</w:t>
            </w:r>
          </w:p>
        </w:tc>
        <w:tc>
          <w:tcPr>
            <w:tcW w:w="1880" w:type="dxa"/>
            <w:vAlign w:val="bottom"/>
            <w:tcBorders>
              <w:right w:val="single" w:sz="8" w:color="auto"/>
            </w:tcBorders>
          </w:tcPr>
          <w:p>
            <w:pPr>
              <w:jc w:val="right"/>
              <w:ind w:right="506"/>
              <w:spacing w:after="0"/>
              <w:rPr>
                <w:sz w:val="20"/>
                <w:szCs w:val="20"/>
                <w:color w:val="auto"/>
              </w:rPr>
            </w:pPr>
            <w:r>
              <w:rPr>
                <w:rFonts w:ascii="Arial" w:cs="Arial" w:eastAsia="Arial" w:hAnsi="Arial"/>
                <w:sz w:val="11"/>
                <w:szCs w:val="11"/>
                <w:b w:val="1"/>
                <w:bCs w:val="1"/>
                <w:color w:val="366092"/>
              </w:rPr>
              <w:t>March 31, 2021</w:t>
            </w:r>
          </w:p>
        </w:tc>
        <w:tc>
          <w:tcPr>
            <w:tcW w:w="19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366092"/>
                <w:w w:val="97"/>
              </w:rPr>
              <w:t>March 31, 2020</w:t>
            </w:r>
          </w:p>
        </w:tc>
        <w:tc>
          <w:tcPr>
            <w:tcW w:w="940" w:type="dxa"/>
            <w:vAlign w:val="bottom"/>
          </w:tcPr>
          <w:p>
            <w:pPr>
              <w:jc w:val="center"/>
              <w:spacing w:after="0"/>
              <w:rPr>
                <w:sz w:val="20"/>
                <w:szCs w:val="20"/>
                <w:color w:val="auto"/>
              </w:rPr>
            </w:pPr>
            <w:r>
              <w:rPr>
                <w:rFonts w:ascii="Arial" w:cs="Arial" w:eastAsia="Arial" w:hAnsi="Arial"/>
                <w:sz w:val="11"/>
                <w:szCs w:val="11"/>
                <w:color w:val="auto"/>
                <w:w w:val="99"/>
              </w:rPr>
              <w:t>Difference</w:t>
            </w:r>
          </w:p>
        </w:tc>
        <w:tc>
          <w:tcPr>
            <w:tcW w:w="980" w:type="dxa"/>
            <w:vAlign w:val="bottom"/>
          </w:tcPr>
          <w:p>
            <w:pPr>
              <w:spacing w:after="0"/>
              <w:rPr>
                <w:sz w:val="12"/>
                <w:szCs w:val="12"/>
                <w:color w:val="auto"/>
              </w:rPr>
            </w:pPr>
          </w:p>
        </w:tc>
        <w:tc>
          <w:tcPr>
            <w:tcW w:w="1960" w:type="dxa"/>
            <w:vAlign w:val="bottom"/>
            <w:gridSpan w:val="2"/>
          </w:tcPr>
          <w:p>
            <w:pPr>
              <w:jc w:val="center"/>
              <w:ind w:right="80"/>
              <w:spacing w:after="0"/>
              <w:rPr>
                <w:sz w:val="20"/>
                <w:szCs w:val="20"/>
                <w:color w:val="auto"/>
              </w:rPr>
            </w:pPr>
            <w:r>
              <w:rPr>
                <w:rFonts w:ascii="Arial" w:cs="Arial" w:eastAsia="Arial" w:hAnsi="Arial"/>
                <w:sz w:val="11"/>
                <w:szCs w:val="11"/>
                <w:color w:val="auto"/>
                <w:w w:val="99"/>
              </w:rPr>
              <w:t>December 31, 2020</w:t>
            </w:r>
          </w:p>
        </w:tc>
        <w:tc>
          <w:tcPr>
            <w:tcW w:w="960" w:type="dxa"/>
            <w:vAlign w:val="bottom"/>
          </w:tcPr>
          <w:p>
            <w:pPr>
              <w:jc w:val="center"/>
              <w:spacing w:after="0"/>
              <w:rPr>
                <w:sz w:val="20"/>
                <w:szCs w:val="20"/>
                <w:color w:val="auto"/>
              </w:rPr>
            </w:pPr>
            <w:r>
              <w:rPr>
                <w:rFonts w:ascii="Arial" w:cs="Arial" w:eastAsia="Arial" w:hAnsi="Arial"/>
                <w:sz w:val="11"/>
                <w:szCs w:val="11"/>
                <w:color w:val="auto"/>
                <w:w w:val="95"/>
              </w:rPr>
              <w:t>Difference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640" w:type="dxa"/>
            <w:vAlign w:val="bottom"/>
            <w:tcBorders>
              <w:right w:val="single" w:sz="8" w:color="auto"/>
            </w:tcBorders>
            <w:vMerge w:val="continue"/>
          </w:tcPr>
          <w:p>
            <w:pPr>
              <w:spacing w:after="0"/>
              <w:rPr>
                <w:sz w:val="11"/>
                <w:szCs w:val="11"/>
                <w:color w:val="auto"/>
              </w:rPr>
            </w:pPr>
          </w:p>
        </w:tc>
        <w:tc>
          <w:tcPr>
            <w:tcW w:w="1880" w:type="dxa"/>
            <w:vAlign w:val="bottom"/>
            <w:tcBorders>
              <w:top w:val="single" w:sz="8" w:color="auto"/>
              <w:right w:val="single" w:sz="8" w:color="auto"/>
            </w:tcBorders>
          </w:tcPr>
          <w:p>
            <w:pPr>
              <w:spacing w:after="0"/>
              <w:rPr>
                <w:sz w:val="11"/>
                <w:szCs w:val="11"/>
                <w:color w:val="auto"/>
              </w:rPr>
            </w:pPr>
          </w:p>
        </w:tc>
        <w:tc>
          <w:tcPr>
            <w:tcW w:w="1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4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Generic Dispense Rate</w:t>
            </w:r>
          </w:p>
        </w:tc>
        <w:tc>
          <w:tcPr>
            <w:tcW w:w="1880" w:type="dxa"/>
            <w:vAlign w:val="bottom"/>
            <w:tcBorders>
              <w:right w:val="single" w:sz="8" w:color="auto"/>
            </w:tcBorders>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Borders>
              <w:right w:val="single" w:sz="8" w:color="auto"/>
            </w:tcBorders>
          </w:tcPr>
          <w:p>
            <w:pPr>
              <w:ind w:left="300"/>
              <w:spacing w:after="0"/>
              <w:rPr>
                <w:sz w:val="20"/>
                <w:szCs w:val="20"/>
                <w:color w:val="auto"/>
              </w:rPr>
            </w:pPr>
            <w:r>
              <w:rPr>
                <w:rFonts w:ascii="Arial" w:cs="Arial" w:eastAsia="Arial" w:hAnsi="Arial"/>
                <w:sz w:val="11"/>
                <w:szCs w:val="11"/>
                <w:color w:val="auto"/>
              </w:rPr>
              <w:t>Retail</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00497F"/>
              </w:rPr>
              <w:t>91.5 %</w:t>
            </w:r>
          </w:p>
        </w:tc>
        <w:tc>
          <w:tcPr>
            <w:tcW w:w="1880" w:type="dxa"/>
            <w:vAlign w:val="bottom"/>
          </w:tcPr>
          <w:p>
            <w:pPr>
              <w:jc w:val="right"/>
              <w:spacing w:after="0"/>
              <w:rPr>
                <w:sz w:val="20"/>
                <w:szCs w:val="20"/>
                <w:color w:val="auto"/>
              </w:rPr>
            </w:pPr>
            <w:r>
              <w:rPr>
                <w:rFonts w:ascii="Arial" w:cs="Arial" w:eastAsia="Arial" w:hAnsi="Arial"/>
                <w:sz w:val="11"/>
                <w:szCs w:val="11"/>
                <w:color w:val="auto"/>
              </w:rPr>
              <w:t>91.9 %</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-0.4 %</w:t>
            </w:r>
          </w:p>
        </w:tc>
        <w:tc>
          <w:tcPr>
            <w:tcW w:w="980" w:type="dxa"/>
            <w:vAlign w:val="bottom"/>
          </w:tcPr>
          <w:p>
            <w:pPr>
              <w:spacing w:after="0"/>
              <w:rPr>
                <w:sz w:val="12"/>
                <w:szCs w:val="12"/>
                <w:color w:val="auto"/>
              </w:rPr>
            </w:pPr>
          </w:p>
        </w:tc>
        <w:tc>
          <w:tcPr>
            <w:tcW w:w="1880" w:type="dxa"/>
            <w:vAlign w:val="bottom"/>
          </w:tcPr>
          <w:p>
            <w:pPr>
              <w:jc w:val="right"/>
              <w:spacing w:after="0"/>
              <w:rPr>
                <w:sz w:val="20"/>
                <w:szCs w:val="20"/>
                <w:color w:val="auto"/>
              </w:rPr>
            </w:pPr>
            <w:r>
              <w:rPr>
                <w:rFonts w:ascii="Arial" w:cs="Arial" w:eastAsia="Arial" w:hAnsi="Arial"/>
                <w:sz w:val="11"/>
                <w:szCs w:val="11"/>
                <w:color w:val="auto"/>
              </w:rPr>
              <w:t>91.8 %</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-0.3 %</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Borders>
              <w:right w:val="single" w:sz="8" w:color="auto"/>
            </w:tcBorders>
          </w:tcPr>
          <w:p>
            <w:pPr>
              <w:ind w:left="300"/>
              <w:spacing w:after="0"/>
              <w:rPr>
                <w:sz w:val="20"/>
                <w:szCs w:val="20"/>
                <w:color w:val="auto"/>
              </w:rPr>
            </w:pPr>
            <w:r>
              <w:rPr>
                <w:rFonts w:ascii="Arial" w:cs="Arial" w:eastAsia="Arial" w:hAnsi="Arial"/>
                <w:sz w:val="11"/>
                <w:szCs w:val="11"/>
                <w:color w:val="auto"/>
              </w:rPr>
              <w:t>Group and Specialty</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00497F"/>
              </w:rPr>
              <w:t>88.7 %</w:t>
            </w:r>
          </w:p>
        </w:tc>
        <w:tc>
          <w:tcPr>
            <w:tcW w:w="1880" w:type="dxa"/>
            <w:vAlign w:val="bottom"/>
          </w:tcPr>
          <w:p>
            <w:pPr>
              <w:jc w:val="right"/>
              <w:spacing w:after="0"/>
              <w:rPr>
                <w:sz w:val="20"/>
                <w:szCs w:val="20"/>
                <w:color w:val="auto"/>
              </w:rPr>
            </w:pPr>
            <w:r>
              <w:rPr>
                <w:rFonts w:ascii="Arial" w:cs="Arial" w:eastAsia="Arial" w:hAnsi="Arial"/>
                <w:sz w:val="11"/>
                <w:szCs w:val="11"/>
                <w:color w:val="auto"/>
              </w:rPr>
              <w:t>88.0 %</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0.7 %</w:t>
            </w:r>
          </w:p>
        </w:tc>
        <w:tc>
          <w:tcPr>
            <w:tcW w:w="980" w:type="dxa"/>
            <w:vAlign w:val="bottom"/>
          </w:tcPr>
          <w:p>
            <w:pPr>
              <w:spacing w:after="0"/>
              <w:rPr>
                <w:sz w:val="12"/>
                <w:szCs w:val="12"/>
                <w:color w:val="auto"/>
              </w:rPr>
            </w:pPr>
          </w:p>
        </w:tc>
        <w:tc>
          <w:tcPr>
            <w:tcW w:w="1880" w:type="dxa"/>
            <w:vAlign w:val="bottom"/>
          </w:tcPr>
          <w:p>
            <w:pPr>
              <w:jc w:val="right"/>
              <w:spacing w:after="0"/>
              <w:rPr>
                <w:sz w:val="20"/>
                <w:szCs w:val="20"/>
                <w:color w:val="auto"/>
              </w:rPr>
            </w:pPr>
            <w:r>
              <w:rPr>
                <w:rFonts w:ascii="Arial" w:cs="Arial" w:eastAsia="Arial" w:hAnsi="Arial"/>
                <w:sz w:val="11"/>
                <w:szCs w:val="11"/>
                <w:color w:val="auto"/>
              </w:rPr>
              <w:t>88.1 %</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0.6 %</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Borders>
              <w:right w:val="single" w:sz="8" w:color="auto"/>
            </w:tcBorders>
          </w:tcPr>
          <w:p>
            <w:pPr>
              <w:ind w:left="80"/>
              <w:spacing w:after="0"/>
              <w:rPr>
                <w:sz w:val="20"/>
                <w:szCs w:val="20"/>
                <w:color w:val="auto"/>
              </w:rPr>
            </w:pPr>
            <w:r>
              <w:rPr>
                <w:rFonts w:ascii="Arial" w:cs="Arial" w:eastAsia="Arial" w:hAnsi="Arial"/>
                <w:sz w:val="11"/>
                <w:szCs w:val="11"/>
                <w:b w:val="1"/>
                <w:bCs w:val="1"/>
                <w:color w:val="auto"/>
              </w:rPr>
              <w:t>Mail-Order Penetration</w:t>
            </w:r>
          </w:p>
        </w:tc>
        <w:tc>
          <w:tcPr>
            <w:tcW w:w="1880" w:type="dxa"/>
            <w:vAlign w:val="bottom"/>
            <w:tcBorders>
              <w:right w:val="single" w:sz="8" w:color="auto"/>
            </w:tcBorders>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Borders>
              <w:right w:val="single" w:sz="8" w:color="auto"/>
            </w:tcBorders>
          </w:tcPr>
          <w:p>
            <w:pPr>
              <w:ind w:left="300"/>
              <w:spacing w:after="0"/>
              <w:rPr>
                <w:sz w:val="20"/>
                <w:szCs w:val="20"/>
                <w:color w:val="auto"/>
              </w:rPr>
            </w:pPr>
            <w:r>
              <w:rPr>
                <w:rFonts w:ascii="Arial" w:cs="Arial" w:eastAsia="Arial" w:hAnsi="Arial"/>
                <w:sz w:val="11"/>
                <w:szCs w:val="11"/>
                <w:color w:val="auto"/>
              </w:rPr>
              <w:t>Retail</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00497F"/>
              </w:rPr>
              <w:t>29.5 %</w:t>
            </w:r>
          </w:p>
        </w:tc>
        <w:tc>
          <w:tcPr>
            <w:tcW w:w="1880" w:type="dxa"/>
            <w:vAlign w:val="bottom"/>
          </w:tcPr>
          <w:p>
            <w:pPr>
              <w:jc w:val="right"/>
              <w:spacing w:after="0"/>
              <w:rPr>
                <w:sz w:val="20"/>
                <w:szCs w:val="20"/>
                <w:color w:val="auto"/>
              </w:rPr>
            </w:pPr>
            <w:r>
              <w:rPr>
                <w:rFonts w:ascii="Arial" w:cs="Arial" w:eastAsia="Arial" w:hAnsi="Arial"/>
                <w:sz w:val="11"/>
                <w:szCs w:val="11"/>
                <w:color w:val="auto"/>
              </w:rPr>
              <w:t>28.7 %</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0.8 %</w:t>
            </w:r>
          </w:p>
        </w:tc>
        <w:tc>
          <w:tcPr>
            <w:tcW w:w="980" w:type="dxa"/>
            <w:vAlign w:val="bottom"/>
          </w:tcPr>
          <w:p>
            <w:pPr>
              <w:spacing w:after="0"/>
              <w:rPr>
                <w:sz w:val="12"/>
                <w:szCs w:val="12"/>
                <w:color w:val="auto"/>
              </w:rPr>
            </w:pPr>
          </w:p>
        </w:tc>
        <w:tc>
          <w:tcPr>
            <w:tcW w:w="1880" w:type="dxa"/>
            <w:vAlign w:val="bottom"/>
          </w:tcPr>
          <w:p>
            <w:pPr>
              <w:jc w:val="right"/>
              <w:spacing w:after="0"/>
              <w:rPr>
                <w:sz w:val="20"/>
                <w:szCs w:val="20"/>
                <w:color w:val="auto"/>
              </w:rPr>
            </w:pPr>
            <w:r>
              <w:rPr>
                <w:rFonts w:ascii="Arial" w:cs="Arial" w:eastAsia="Arial" w:hAnsi="Arial"/>
                <w:sz w:val="11"/>
                <w:szCs w:val="11"/>
                <w:color w:val="auto"/>
              </w:rPr>
              <w:t>30.6 %</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-1.1 %</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40" w:type="dxa"/>
            <w:vAlign w:val="bottom"/>
            <w:tcBorders>
              <w:right w:val="single" w:sz="8" w:color="auto"/>
            </w:tcBorders>
          </w:tcPr>
          <w:p>
            <w:pPr>
              <w:ind w:left="300"/>
              <w:spacing w:after="0"/>
              <w:rPr>
                <w:sz w:val="20"/>
                <w:szCs w:val="20"/>
                <w:color w:val="auto"/>
              </w:rPr>
            </w:pPr>
            <w:r>
              <w:rPr>
                <w:rFonts w:ascii="Arial" w:cs="Arial" w:eastAsia="Arial" w:hAnsi="Arial"/>
                <w:sz w:val="11"/>
                <w:szCs w:val="11"/>
                <w:color w:val="auto"/>
              </w:rPr>
              <w:t>Group and Specialty</w:t>
            </w: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00497F"/>
              </w:rPr>
              <w:t>6.5 %</w:t>
            </w:r>
          </w:p>
        </w:tc>
        <w:tc>
          <w:tcPr>
            <w:tcW w:w="1880" w:type="dxa"/>
            <w:vAlign w:val="bottom"/>
          </w:tcPr>
          <w:p>
            <w:pPr>
              <w:jc w:val="right"/>
              <w:spacing w:after="0"/>
              <w:rPr>
                <w:sz w:val="20"/>
                <w:szCs w:val="20"/>
                <w:color w:val="auto"/>
              </w:rPr>
            </w:pPr>
            <w:r>
              <w:rPr>
                <w:rFonts w:ascii="Arial" w:cs="Arial" w:eastAsia="Arial" w:hAnsi="Arial"/>
                <w:sz w:val="11"/>
                <w:szCs w:val="11"/>
                <w:color w:val="auto"/>
              </w:rPr>
              <w:t>6.0 %</w:t>
            </w:r>
          </w:p>
        </w:tc>
        <w:tc>
          <w:tcPr>
            <w:tcW w:w="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0.5 %</w:t>
            </w:r>
          </w:p>
        </w:tc>
        <w:tc>
          <w:tcPr>
            <w:tcW w:w="980" w:type="dxa"/>
            <w:vAlign w:val="bottom"/>
          </w:tcPr>
          <w:p>
            <w:pPr>
              <w:spacing w:after="0"/>
              <w:rPr>
                <w:sz w:val="12"/>
                <w:szCs w:val="12"/>
                <w:color w:val="auto"/>
              </w:rPr>
            </w:pPr>
          </w:p>
        </w:tc>
        <w:tc>
          <w:tcPr>
            <w:tcW w:w="1880" w:type="dxa"/>
            <w:vAlign w:val="bottom"/>
          </w:tcPr>
          <w:p>
            <w:pPr>
              <w:jc w:val="right"/>
              <w:spacing w:after="0"/>
              <w:rPr>
                <w:sz w:val="20"/>
                <w:szCs w:val="20"/>
                <w:color w:val="auto"/>
              </w:rPr>
            </w:pPr>
            <w:r>
              <w:rPr>
                <w:rFonts w:ascii="Arial" w:cs="Arial" w:eastAsia="Arial" w:hAnsi="Arial"/>
                <w:sz w:val="11"/>
                <w:szCs w:val="11"/>
                <w:color w:val="auto"/>
              </w:rPr>
              <w:t>6.4 %</w:t>
            </w:r>
          </w:p>
        </w:tc>
        <w:tc>
          <w:tcPr>
            <w:tcW w:w="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0.1 %</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164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5"/>
              </w:rPr>
              <w:t>Percentage</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1"/>
                <w:szCs w:val="11"/>
                <w:color w:val="auto"/>
                <w:w w:val="99"/>
              </w:rPr>
              <w:t>Percentage</w:t>
            </w:r>
          </w:p>
        </w:tc>
        <w:tc>
          <w:tcPr>
            <w:tcW w:w="0" w:type="dxa"/>
            <w:vAlign w:val="bottom"/>
          </w:tcPr>
          <w:p>
            <w:pPr>
              <w:spacing w:after="0"/>
              <w:rPr>
                <w:sz w:val="1"/>
                <w:szCs w:val="1"/>
                <w:color w:val="auto"/>
              </w:rPr>
            </w:pPr>
          </w:p>
        </w:tc>
      </w:tr>
      <w:tr>
        <w:trPr>
          <w:trHeight w:val="134"/>
        </w:trPr>
        <w:tc>
          <w:tcPr>
            <w:tcW w:w="164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Difference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Change</w:t>
            </w:r>
          </w:p>
        </w:tc>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Difference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8"/>
              </w:rPr>
              <w:t>Change</w:t>
            </w:r>
          </w:p>
        </w:tc>
        <w:tc>
          <w:tcPr>
            <w:tcW w:w="0" w:type="dxa"/>
            <w:vAlign w:val="bottom"/>
          </w:tcPr>
          <w:p>
            <w:pPr>
              <w:spacing w:after="0"/>
              <w:rPr>
                <w:sz w:val="1"/>
                <w:szCs w:val="1"/>
                <w:color w:val="auto"/>
              </w:rPr>
            </w:pPr>
          </w:p>
        </w:tc>
      </w:tr>
      <w:tr>
        <w:trPr>
          <w:trHeight w:val="131"/>
        </w:trPr>
        <w:tc>
          <w:tcPr>
            <w:tcW w:w="164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 xml:space="preserve">Script volume </w:t>
            </w:r>
            <w:r>
              <w:rPr>
                <w:rFonts w:ascii="Arial" w:cs="Arial" w:eastAsia="Arial" w:hAnsi="Arial"/>
                <w:sz w:val="11"/>
                <w:szCs w:val="11"/>
                <w:color w:val="auto"/>
              </w:rPr>
              <w:t>(Q)</w:t>
            </w:r>
          </w:p>
        </w:tc>
        <w:tc>
          <w:tcPr>
            <w:tcW w:w="188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1"/>
                <w:szCs w:val="11"/>
                <w:b w:val="1"/>
                <w:bCs w:val="1"/>
                <w:color w:val="00497F"/>
              </w:rPr>
              <w:t>125,500</w:t>
            </w:r>
          </w:p>
        </w:tc>
        <w:tc>
          <w:tcPr>
            <w:tcW w:w="1880" w:type="dxa"/>
            <w:vAlign w:val="bottom"/>
          </w:tcPr>
          <w:p>
            <w:pPr>
              <w:jc w:val="right"/>
              <w:ind w:right="86"/>
              <w:spacing w:after="0"/>
              <w:rPr>
                <w:sz w:val="20"/>
                <w:szCs w:val="20"/>
                <w:color w:val="auto"/>
              </w:rPr>
            </w:pPr>
            <w:r>
              <w:rPr>
                <w:rFonts w:ascii="Arial" w:cs="Arial" w:eastAsia="Arial" w:hAnsi="Arial"/>
                <w:sz w:val="11"/>
                <w:szCs w:val="11"/>
                <w:color w:val="auto"/>
              </w:rPr>
              <w:t>120,100</w:t>
            </w:r>
          </w:p>
        </w:tc>
        <w:tc>
          <w:tcPr>
            <w:tcW w:w="80" w:type="dxa"/>
            <w:vAlign w:val="bottom"/>
          </w:tcPr>
          <w:p>
            <w:pPr>
              <w:spacing w:after="0"/>
              <w:rPr>
                <w:sz w:val="11"/>
                <w:szCs w:val="11"/>
                <w:color w:val="auto"/>
              </w:rPr>
            </w:pPr>
          </w:p>
        </w:tc>
        <w:tc>
          <w:tcPr>
            <w:tcW w:w="940" w:type="dxa"/>
            <w:vAlign w:val="bottom"/>
          </w:tcPr>
          <w:p>
            <w:pPr>
              <w:jc w:val="right"/>
              <w:ind w:right="87"/>
              <w:spacing w:after="0"/>
              <w:rPr>
                <w:sz w:val="20"/>
                <w:szCs w:val="20"/>
                <w:color w:val="auto"/>
              </w:rPr>
            </w:pPr>
            <w:r>
              <w:rPr>
                <w:rFonts w:ascii="Arial" w:cs="Arial" w:eastAsia="Arial" w:hAnsi="Arial"/>
                <w:sz w:val="11"/>
                <w:szCs w:val="11"/>
                <w:color w:val="auto"/>
              </w:rPr>
              <w:t>5,400</w:t>
            </w:r>
          </w:p>
        </w:tc>
        <w:tc>
          <w:tcPr>
            <w:tcW w:w="980" w:type="dxa"/>
            <w:vAlign w:val="bottom"/>
          </w:tcPr>
          <w:p>
            <w:pPr>
              <w:jc w:val="right"/>
              <w:spacing w:after="0"/>
              <w:rPr>
                <w:sz w:val="20"/>
                <w:szCs w:val="20"/>
                <w:color w:val="auto"/>
              </w:rPr>
            </w:pPr>
            <w:r>
              <w:rPr>
                <w:rFonts w:ascii="Arial" w:cs="Arial" w:eastAsia="Arial" w:hAnsi="Arial"/>
                <w:sz w:val="11"/>
                <w:szCs w:val="11"/>
                <w:color w:val="auto"/>
              </w:rPr>
              <w:t>4.5 %</w:t>
            </w:r>
          </w:p>
        </w:tc>
        <w:tc>
          <w:tcPr>
            <w:tcW w:w="1880" w:type="dxa"/>
            <w:vAlign w:val="bottom"/>
          </w:tcPr>
          <w:p>
            <w:pPr>
              <w:jc w:val="right"/>
              <w:ind w:right="66"/>
              <w:spacing w:after="0"/>
              <w:rPr>
                <w:sz w:val="20"/>
                <w:szCs w:val="20"/>
                <w:color w:val="auto"/>
              </w:rPr>
            </w:pPr>
            <w:r>
              <w:rPr>
                <w:rFonts w:ascii="Arial" w:cs="Arial" w:eastAsia="Arial" w:hAnsi="Arial"/>
                <w:sz w:val="11"/>
                <w:szCs w:val="11"/>
                <w:color w:val="auto"/>
              </w:rPr>
              <w:t>121,800</w:t>
            </w:r>
          </w:p>
        </w:tc>
        <w:tc>
          <w:tcPr>
            <w:tcW w:w="80" w:type="dxa"/>
            <w:vAlign w:val="bottom"/>
          </w:tcPr>
          <w:p>
            <w:pPr>
              <w:spacing w:after="0"/>
              <w:rPr>
                <w:sz w:val="11"/>
                <w:szCs w:val="11"/>
                <w:color w:val="auto"/>
              </w:rPr>
            </w:pPr>
          </w:p>
        </w:tc>
        <w:tc>
          <w:tcPr>
            <w:tcW w:w="960" w:type="dxa"/>
            <w:vAlign w:val="bottom"/>
          </w:tcPr>
          <w:p>
            <w:pPr>
              <w:jc w:val="right"/>
              <w:ind w:right="87"/>
              <w:spacing w:after="0"/>
              <w:rPr>
                <w:sz w:val="20"/>
                <w:szCs w:val="20"/>
                <w:color w:val="auto"/>
              </w:rPr>
            </w:pPr>
            <w:r>
              <w:rPr>
                <w:rFonts w:ascii="Arial" w:cs="Arial" w:eastAsia="Arial" w:hAnsi="Arial"/>
                <w:sz w:val="11"/>
                <w:szCs w:val="11"/>
                <w:color w:val="auto"/>
              </w:rPr>
              <w:t>3,700</w:t>
            </w:r>
          </w:p>
        </w:tc>
        <w:tc>
          <w:tcPr>
            <w:tcW w:w="980" w:type="dxa"/>
            <w:vAlign w:val="bottom"/>
          </w:tcPr>
          <w:p>
            <w:pPr>
              <w:jc w:val="right"/>
              <w:spacing w:after="0"/>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S-11</w:t>
      </w:r>
    </w:p>
    <w:p>
      <w:pPr>
        <w:sectPr>
          <w:pgSz w:w="11900" w:h="16838" w:orient="portrait"/>
          <w:cols w:equalWidth="0" w:num="1">
            <w:col w:w="11300"/>
          </w:cols>
          <w:pgMar w:left="300" w:top="789" w:right="29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Detail of Benefits Payable Balance and Year-to-Date Changes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Dollars 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60" w:type="dxa"/>
            <w:vAlign w:val="bottom"/>
            <w:tcBorders>
              <w:right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80" w:type="dxa"/>
            <w:vAlign w:val="bottom"/>
            <w:tcBorders>
              <w:top w:val="single" w:sz="8" w:color="auto"/>
              <w:right w:val="single" w:sz="8" w:color="auto"/>
            </w:tcBorders>
          </w:tcPr>
          <w:p>
            <w:pPr>
              <w:jc w:val="right"/>
              <w:ind w:right="286"/>
              <w:spacing w:after="0" w:line="115" w:lineRule="exact"/>
              <w:rPr>
                <w:sz w:val="20"/>
                <w:szCs w:val="20"/>
                <w:color w:val="auto"/>
              </w:rPr>
            </w:pPr>
            <w:r>
              <w:rPr>
                <w:rFonts w:ascii="Arial" w:cs="Arial" w:eastAsia="Arial" w:hAnsi="Arial"/>
                <w:sz w:val="11"/>
                <w:szCs w:val="11"/>
                <w:b w:val="1"/>
                <w:bCs w:val="1"/>
                <w:color w:val="00497F"/>
              </w:rPr>
              <w:t>For the three months ended</w:t>
            </w:r>
          </w:p>
        </w:tc>
        <w:tc>
          <w:tcPr>
            <w:tcW w:w="1820" w:type="dxa"/>
            <w:vAlign w:val="bottom"/>
            <w:tcBorders>
              <w:top w:val="single" w:sz="8" w:color="auto"/>
              <w:right w:val="single" w:sz="8" w:color="auto"/>
            </w:tcBorders>
          </w:tcPr>
          <w:p>
            <w:pPr>
              <w:jc w:val="right"/>
              <w:ind w:right="206"/>
              <w:spacing w:after="0" w:line="115" w:lineRule="exact"/>
              <w:rPr>
                <w:sz w:val="20"/>
                <w:szCs w:val="20"/>
                <w:color w:val="auto"/>
              </w:rPr>
            </w:pPr>
            <w:r>
              <w:rPr>
                <w:rFonts w:ascii="Arial" w:cs="Arial" w:eastAsia="Arial" w:hAnsi="Arial"/>
                <w:sz w:val="11"/>
                <w:szCs w:val="11"/>
                <w:color w:val="auto"/>
              </w:rPr>
              <w:t>For the three months ended</w:t>
            </w:r>
          </w:p>
        </w:tc>
        <w:tc>
          <w:tcPr>
            <w:tcW w:w="1760" w:type="dxa"/>
            <w:vAlign w:val="bottom"/>
            <w:tcBorders>
              <w:top w:val="single" w:sz="8" w:color="auto"/>
              <w:right w:val="single" w:sz="8" w:color="auto"/>
            </w:tcBorders>
          </w:tcPr>
          <w:p>
            <w:pPr>
              <w:jc w:val="right"/>
              <w:ind w:right="386"/>
              <w:spacing w:after="0" w:line="115" w:lineRule="exact"/>
              <w:rPr>
                <w:sz w:val="20"/>
                <w:szCs w:val="20"/>
                <w:color w:val="auto"/>
              </w:rPr>
            </w:pPr>
            <w:r>
              <w:rPr>
                <w:rFonts w:ascii="Arial" w:cs="Arial" w:eastAsia="Arial" w:hAnsi="Arial"/>
                <w:sz w:val="11"/>
                <w:szCs w:val="11"/>
                <w:color w:val="auto"/>
              </w:rPr>
              <w:t>For the year ended</w:t>
            </w:r>
          </w:p>
        </w:tc>
        <w:tc>
          <w:tcPr>
            <w:tcW w:w="0" w:type="dxa"/>
            <w:vAlign w:val="bottom"/>
          </w:tcPr>
          <w:p>
            <w:pPr>
              <w:spacing w:after="0"/>
              <w:rPr>
                <w:sz w:val="1"/>
                <w:szCs w:val="1"/>
                <w:color w:val="auto"/>
              </w:rPr>
            </w:pPr>
          </w:p>
        </w:tc>
      </w:tr>
      <w:tr>
        <w:trPr>
          <w:trHeight w:val="143"/>
        </w:trPr>
        <w:tc>
          <w:tcPr>
            <w:tcW w:w="436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b w:val="1"/>
                <w:bCs w:val="1"/>
                <w:color w:val="auto"/>
              </w:rPr>
              <w:t>Year-to-date changes in benefits payable, excluding military services</w:t>
            </w:r>
          </w:p>
        </w:tc>
        <w:tc>
          <w:tcPr>
            <w:tcW w:w="180" w:type="dxa"/>
            <w:vAlign w:val="bottom"/>
            <w:tcBorders>
              <w:bottom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jc w:val="right"/>
              <w:ind w:right="606"/>
              <w:spacing w:after="0"/>
              <w:rPr>
                <w:sz w:val="20"/>
                <w:szCs w:val="20"/>
                <w:color w:val="auto"/>
              </w:rPr>
            </w:pPr>
            <w:r>
              <w:rPr>
                <w:rFonts w:ascii="Arial" w:cs="Arial" w:eastAsia="Arial" w:hAnsi="Arial"/>
                <w:sz w:val="11"/>
                <w:szCs w:val="11"/>
                <w:b w:val="1"/>
                <w:bCs w:val="1"/>
                <w:color w:val="00497F"/>
              </w:rPr>
              <w:t>March 31, 2021</w:t>
            </w:r>
          </w:p>
        </w:tc>
        <w:tc>
          <w:tcPr>
            <w:tcW w:w="1820" w:type="dxa"/>
            <w:vAlign w:val="bottom"/>
            <w:tcBorders>
              <w:bottom w:val="single" w:sz="8" w:color="auto"/>
              <w:right w:val="single" w:sz="8" w:color="auto"/>
            </w:tcBorders>
          </w:tcPr>
          <w:p>
            <w:pPr>
              <w:jc w:val="right"/>
              <w:ind w:right="506"/>
              <w:spacing w:after="0"/>
              <w:rPr>
                <w:sz w:val="20"/>
                <w:szCs w:val="20"/>
                <w:color w:val="auto"/>
              </w:rPr>
            </w:pPr>
            <w:r>
              <w:rPr>
                <w:rFonts w:ascii="Arial" w:cs="Arial" w:eastAsia="Arial" w:hAnsi="Arial"/>
                <w:sz w:val="11"/>
                <w:szCs w:val="11"/>
                <w:color w:val="auto"/>
              </w:rPr>
              <w:t>March 31, 2020</w:t>
            </w:r>
          </w:p>
        </w:tc>
        <w:tc>
          <w:tcPr>
            <w:tcW w:w="1760" w:type="dxa"/>
            <w:vAlign w:val="bottom"/>
            <w:tcBorders>
              <w:bottom w:val="single" w:sz="8" w:color="auto"/>
              <w:right w:val="single" w:sz="8" w:color="auto"/>
            </w:tcBorders>
          </w:tcPr>
          <w:p>
            <w:pPr>
              <w:jc w:val="right"/>
              <w:ind w:right="366"/>
              <w:spacing w:after="0"/>
              <w:rPr>
                <w:sz w:val="20"/>
                <w:szCs w:val="20"/>
                <w:color w:val="auto"/>
              </w:rPr>
            </w:pPr>
            <w:r>
              <w:rPr>
                <w:rFonts w:ascii="Arial" w:cs="Arial" w:eastAsia="Arial" w:hAnsi="Arial"/>
                <w:sz w:val="11"/>
                <w:szCs w:val="11"/>
                <w:color w:val="auto"/>
              </w:rPr>
              <w:t>December 31, 2020</w:t>
            </w:r>
          </w:p>
        </w:tc>
        <w:tc>
          <w:tcPr>
            <w:tcW w:w="0" w:type="dxa"/>
            <w:vAlign w:val="bottom"/>
          </w:tcPr>
          <w:p>
            <w:pPr>
              <w:spacing w:after="0"/>
              <w:rPr>
                <w:sz w:val="1"/>
                <w:szCs w:val="1"/>
                <w:color w:val="auto"/>
              </w:rPr>
            </w:pPr>
          </w:p>
        </w:tc>
      </w:tr>
      <w:tr>
        <w:trPr>
          <w:trHeight w:val="134"/>
        </w:trPr>
        <w:tc>
          <w:tcPr>
            <w:tcW w:w="4360" w:type="dxa"/>
            <w:vAlign w:val="bottom"/>
            <w:tcBorders>
              <w:right w:val="single" w:sz="8" w:color="auto"/>
            </w:tcBorders>
            <w:vMerge w:val="continue"/>
          </w:tcPr>
          <w:p>
            <w:pPr>
              <w:spacing w:after="0"/>
              <w:rPr>
                <w:sz w:val="11"/>
                <w:szCs w:val="11"/>
                <w:color w:val="auto"/>
              </w:rPr>
            </w:pPr>
          </w:p>
        </w:tc>
        <w:tc>
          <w:tcPr>
            <w:tcW w:w="180" w:type="dxa"/>
            <w:vAlign w:val="bottom"/>
            <w:vMerge w:val="restart"/>
          </w:tcPr>
          <w:p>
            <w:pPr>
              <w:jc w:val="right"/>
              <w:ind w:right="71"/>
              <w:spacing w:after="0"/>
              <w:rPr>
                <w:sz w:val="20"/>
                <w:szCs w:val="20"/>
                <w:color w:val="auto"/>
              </w:rPr>
            </w:pPr>
            <w:r>
              <w:rPr>
                <w:rFonts w:ascii="Arial" w:cs="Arial" w:eastAsia="Arial" w:hAnsi="Arial"/>
                <w:sz w:val="10"/>
                <w:szCs w:val="10"/>
                <w:b w:val="1"/>
                <w:bCs w:val="1"/>
                <w:color w:val="00497F"/>
                <w:w w:val="71"/>
              </w:rPr>
              <w:t>$</w:t>
            </w:r>
          </w:p>
        </w:tc>
        <w:tc>
          <w:tcPr>
            <w:tcW w:w="1880" w:type="dxa"/>
            <w:vAlign w:val="bottom"/>
            <w:tcBorders>
              <w:right w:val="single" w:sz="8" w:color="auto"/>
            </w:tcBorders>
            <w:vMerge w:val="restart"/>
          </w:tcPr>
          <w:p>
            <w:pPr>
              <w:jc w:val="right"/>
              <w:ind w:right="26"/>
              <w:spacing w:after="0"/>
              <w:rPr>
                <w:sz w:val="20"/>
                <w:szCs w:val="20"/>
                <w:color w:val="auto"/>
              </w:rPr>
            </w:pPr>
            <w:r>
              <w:rPr>
                <w:rFonts w:ascii="Arial" w:cs="Arial" w:eastAsia="Arial" w:hAnsi="Arial"/>
                <w:sz w:val="11"/>
                <w:szCs w:val="11"/>
                <w:b w:val="1"/>
                <w:bCs w:val="1"/>
                <w:color w:val="00497F"/>
              </w:rPr>
              <w:t>8,143</w:t>
            </w:r>
          </w:p>
        </w:tc>
        <w:tc>
          <w:tcPr>
            <w:tcW w:w="1820" w:type="dxa"/>
            <w:vAlign w:val="bottom"/>
            <w:tcBorders>
              <w:right w:val="single" w:sz="8" w:color="auto"/>
            </w:tcBorders>
          </w:tcPr>
          <w:p>
            <w:pPr>
              <w:spacing w:after="0"/>
              <w:rPr>
                <w:sz w:val="11"/>
                <w:szCs w:val="11"/>
                <w:color w:val="auto"/>
              </w:rPr>
            </w:pPr>
          </w:p>
        </w:tc>
        <w:tc>
          <w:tcPr>
            <w:tcW w:w="17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Balances at January 1</w:t>
            </w:r>
          </w:p>
        </w:tc>
        <w:tc>
          <w:tcPr>
            <w:tcW w:w="180" w:type="dxa"/>
            <w:vAlign w:val="bottom"/>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$6,004</w:t>
            </w:r>
          </w:p>
        </w:tc>
        <w:tc>
          <w:tcPr>
            <w:tcW w:w="17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$6,004</w:t>
            </w:r>
          </w:p>
        </w:tc>
        <w:tc>
          <w:tcPr>
            <w:tcW w:w="0" w:type="dxa"/>
            <w:vAlign w:val="bottom"/>
          </w:tcPr>
          <w:p>
            <w:pPr>
              <w:spacing w:after="0"/>
              <w:rPr>
                <w:sz w:val="1"/>
                <w:szCs w:val="1"/>
                <w:color w:val="auto"/>
              </w:rPr>
            </w:pPr>
          </w:p>
        </w:tc>
      </w:tr>
      <w:tr>
        <w:trPr>
          <w:trHeight w:val="146"/>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Less: Reinsurance recoverables (R)</w:t>
            </w:r>
          </w:p>
        </w:tc>
        <w:tc>
          <w:tcPr>
            <w:tcW w:w="180" w:type="dxa"/>
            <w:vAlign w:val="bottom"/>
            <w:tcBorders>
              <w:bottom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b w:val="1"/>
                <w:bCs w:val="1"/>
                <w:color w:val="00497F"/>
              </w:rPr>
              <w:t>—</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(68)</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33"/>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Beginning balance, net of reinsurance recoverable</w:t>
            </w:r>
          </w:p>
        </w:tc>
        <w:tc>
          <w:tcPr>
            <w:tcW w:w="180" w:type="dxa"/>
            <w:vAlign w:val="bottom"/>
          </w:tcPr>
          <w:p>
            <w:pPr>
              <w:spacing w:after="0"/>
              <w:rPr>
                <w:sz w:val="11"/>
                <w:szCs w:val="11"/>
                <w:color w:val="auto"/>
              </w:rPr>
            </w:pPr>
          </w:p>
        </w:tc>
        <w:tc>
          <w:tcPr>
            <w:tcW w:w="18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b w:val="1"/>
                <w:bCs w:val="1"/>
                <w:color w:val="00497F"/>
              </w:rPr>
              <w:t>8,143</w:t>
            </w:r>
          </w:p>
        </w:tc>
        <w:tc>
          <w:tcPr>
            <w:tcW w:w="182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5,936</w:t>
            </w:r>
          </w:p>
        </w:tc>
        <w:tc>
          <w:tcPr>
            <w:tcW w:w="17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5,936</w:t>
            </w:r>
          </w:p>
        </w:tc>
        <w:tc>
          <w:tcPr>
            <w:tcW w:w="0" w:type="dxa"/>
            <w:vAlign w:val="bottom"/>
          </w:tcPr>
          <w:p>
            <w:pPr>
              <w:spacing w:after="0"/>
              <w:rPr>
                <w:sz w:val="1"/>
                <w:szCs w:val="1"/>
                <w:color w:val="auto"/>
              </w:rPr>
            </w:pPr>
          </w:p>
        </w:tc>
      </w:tr>
      <w:tr>
        <w:trPr>
          <w:trHeight w:val="142"/>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Acquisitions</w:t>
            </w:r>
          </w:p>
        </w:tc>
        <w:tc>
          <w:tcPr>
            <w:tcW w:w="180" w:type="dxa"/>
            <w:vAlign w:val="bottom"/>
          </w:tcPr>
          <w:p>
            <w:pPr>
              <w:spacing w:after="0"/>
              <w:rPr>
                <w:sz w:val="12"/>
                <w:szCs w:val="12"/>
                <w:color w:val="auto"/>
              </w:rPr>
            </w:pPr>
          </w:p>
        </w:tc>
        <w:tc>
          <w:tcPr>
            <w:tcW w:w="18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b w:val="1"/>
                <w:bCs w:val="1"/>
                <w:color w:val="00497F"/>
              </w:rPr>
              <w:t>42</w:t>
            </w:r>
          </w:p>
        </w:tc>
        <w:tc>
          <w:tcPr>
            <w:tcW w:w="182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7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Incurred related to:</w:t>
            </w:r>
          </w:p>
        </w:tc>
        <w:tc>
          <w:tcPr>
            <w:tcW w:w="180" w:type="dxa"/>
            <w:vAlign w:val="bottom"/>
          </w:tcPr>
          <w:p>
            <w:pPr>
              <w:spacing w:after="0"/>
              <w:rPr>
                <w:sz w:val="12"/>
                <w:szCs w:val="12"/>
                <w:color w:val="auto"/>
              </w:rPr>
            </w:pPr>
          </w:p>
        </w:tc>
        <w:tc>
          <w:tcPr>
            <w:tcW w:w="188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17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60" w:type="dxa"/>
            <w:vAlign w:val="bottom"/>
            <w:tcBorders>
              <w:right w:val="single" w:sz="8" w:color="auto"/>
            </w:tcBorders>
          </w:tcPr>
          <w:p>
            <w:pPr>
              <w:ind w:left="440"/>
              <w:spacing w:after="0"/>
              <w:rPr>
                <w:sz w:val="20"/>
                <w:szCs w:val="20"/>
                <w:color w:val="auto"/>
              </w:rPr>
            </w:pPr>
            <w:r>
              <w:rPr>
                <w:rFonts w:ascii="Arial" w:cs="Arial" w:eastAsia="Arial" w:hAnsi="Arial"/>
                <w:sz w:val="11"/>
                <w:szCs w:val="11"/>
                <w:color w:val="auto"/>
              </w:rPr>
              <w:t>Current year</w:t>
            </w:r>
          </w:p>
        </w:tc>
        <w:tc>
          <w:tcPr>
            <w:tcW w:w="180" w:type="dxa"/>
            <w:vAlign w:val="bottom"/>
          </w:tcPr>
          <w:p>
            <w:pPr>
              <w:spacing w:after="0"/>
              <w:rPr>
                <w:sz w:val="12"/>
                <w:szCs w:val="12"/>
                <w:color w:val="auto"/>
              </w:rPr>
            </w:pPr>
          </w:p>
        </w:tc>
        <w:tc>
          <w:tcPr>
            <w:tcW w:w="188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b w:val="1"/>
                <w:bCs w:val="1"/>
                <w:color w:val="00497F"/>
              </w:rPr>
              <w:t>17,851</w:t>
            </w:r>
          </w:p>
        </w:tc>
        <w:tc>
          <w:tcPr>
            <w:tcW w:w="182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15,913</w:t>
            </w:r>
          </w:p>
        </w:tc>
        <w:tc>
          <w:tcPr>
            <w:tcW w:w="176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61,941</w:t>
            </w:r>
          </w:p>
        </w:tc>
        <w:tc>
          <w:tcPr>
            <w:tcW w:w="0" w:type="dxa"/>
            <w:vAlign w:val="bottom"/>
          </w:tcPr>
          <w:p>
            <w:pPr>
              <w:spacing w:after="0"/>
              <w:rPr>
                <w:sz w:val="1"/>
                <w:szCs w:val="1"/>
                <w:color w:val="auto"/>
              </w:rPr>
            </w:pPr>
          </w:p>
        </w:tc>
      </w:tr>
      <w:tr>
        <w:trPr>
          <w:trHeight w:val="146"/>
        </w:trPr>
        <w:tc>
          <w:tcPr>
            <w:tcW w:w="4360" w:type="dxa"/>
            <w:vAlign w:val="bottom"/>
            <w:tcBorders>
              <w:right w:val="single" w:sz="8" w:color="auto"/>
            </w:tcBorders>
          </w:tcPr>
          <w:p>
            <w:pPr>
              <w:ind w:left="440"/>
              <w:spacing w:after="0"/>
              <w:rPr>
                <w:sz w:val="20"/>
                <w:szCs w:val="20"/>
                <w:color w:val="auto"/>
              </w:rPr>
            </w:pPr>
            <w:r>
              <w:rPr>
                <w:rFonts w:ascii="Arial" w:cs="Arial" w:eastAsia="Arial" w:hAnsi="Arial"/>
                <w:sz w:val="11"/>
                <w:szCs w:val="11"/>
                <w:color w:val="auto"/>
              </w:rPr>
              <w:t>Prior years (S)</w:t>
            </w:r>
          </w:p>
        </w:tc>
        <w:tc>
          <w:tcPr>
            <w:tcW w:w="180" w:type="dxa"/>
            <w:vAlign w:val="bottom"/>
            <w:tcBorders>
              <w:bottom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(555)</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(284)</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(313)</w:t>
            </w:r>
          </w:p>
        </w:tc>
        <w:tc>
          <w:tcPr>
            <w:tcW w:w="0" w:type="dxa"/>
            <w:vAlign w:val="bottom"/>
          </w:tcPr>
          <w:p>
            <w:pPr>
              <w:spacing w:after="0"/>
              <w:rPr>
                <w:sz w:val="1"/>
                <w:szCs w:val="1"/>
                <w:color w:val="auto"/>
              </w:rPr>
            </w:pPr>
          </w:p>
        </w:tc>
      </w:tr>
      <w:tr>
        <w:trPr>
          <w:trHeight w:val="133"/>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Total incurred</w:t>
            </w:r>
          </w:p>
        </w:tc>
        <w:tc>
          <w:tcPr>
            <w:tcW w:w="180" w:type="dxa"/>
            <w:vAlign w:val="bottom"/>
            <w:tcBorders>
              <w:bottom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b w:val="1"/>
                <w:bCs w:val="1"/>
                <w:color w:val="00497F"/>
              </w:rPr>
              <w:t>17,296</w:t>
            </w:r>
          </w:p>
        </w:tc>
        <w:tc>
          <w:tcPr>
            <w:tcW w:w="18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15,629</w:t>
            </w:r>
          </w:p>
        </w:tc>
        <w:tc>
          <w:tcPr>
            <w:tcW w:w="176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61,628</w:t>
            </w:r>
          </w:p>
        </w:tc>
        <w:tc>
          <w:tcPr>
            <w:tcW w:w="0" w:type="dxa"/>
            <w:vAlign w:val="bottom"/>
          </w:tcPr>
          <w:p>
            <w:pPr>
              <w:spacing w:after="0"/>
              <w:rPr>
                <w:sz w:val="1"/>
                <w:szCs w:val="1"/>
                <w:color w:val="auto"/>
              </w:rPr>
            </w:pPr>
          </w:p>
        </w:tc>
      </w:tr>
      <w:tr>
        <w:trPr>
          <w:trHeight w:val="122"/>
        </w:trPr>
        <w:tc>
          <w:tcPr>
            <w:tcW w:w="4360" w:type="dxa"/>
            <w:vAlign w:val="bottom"/>
            <w:tcBorders>
              <w:right w:val="single" w:sz="8" w:color="auto"/>
            </w:tcBorders>
          </w:tcPr>
          <w:p>
            <w:pPr>
              <w:ind w:left="220"/>
              <w:spacing w:after="0" w:line="122" w:lineRule="exact"/>
              <w:rPr>
                <w:sz w:val="20"/>
                <w:szCs w:val="20"/>
                <w:color w:val="auto"/>
              </w:rPr>
            </w:pPr>
            <w:r>
              <w:rPr>
                <w:rFonts w:ascii="Arial" w:cs="Arial" w:eastAsia="Arial" w:hAnsi="Arial"/>
                <w:sz w:val="11"/>
                <w:szCs w:val="11"/>
                <w:color w:val="auto"/>
              </w:rPr>
              <w:t>Paid related to:</w:t>
            </w:r>
          </w:p>
        </w:tc>
        <w:tc>
          <w:tcPr>
            <w:tcW w:w="180" w:type="dxa"/>
            <w:vAlign w:val="bottom"/>
          </w:tcPr>
          <w:p>
            <w:pPr>
              <w:spacing w:after="0"/>
              <w:rPr>
                <w:sz w:val="10"/>
                <w:szCs w:val="10"/>
                <w:color w:val="auto"/>
              </w:rPr>
            </w:pPr>
          </w:p>
        </w:tc>
        <w:tc>
          <w:tcPr>
            <w:tcW w:w="188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17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60" w:type="dxa"/>
            <w:vAlign w:val="bottom"/>
            <w:tcBorders>
              <w:right w:val="single" w:sz="8" w:color="auto"/>
            </w:tcBorders>
          </w:tcPr>
          <w:p>
            <w:pPr>
              <w:ind w:left="440"/>
              <w:spacing w:after="0"/>
              <w:rPr>
                <w:sz w:val="20"/>
                <w:szCs w:val="20"/>
                <w:color w:val="auto"/>
              </w:rPr>
            </w:pPr>
            <w:r>
              <w:rPr>
                <w:rFonts w:ascii="Arial" w:cs="Arial" w:eastAsia="Arial" w:hAnsi="Arial"/>
                <w:sz w:val="11"/>
                <w:szCs w:val="11"/>
                <w:color w:val="auto"/>
              </w:rPr>
              <w:t>Current year</w:t>
            </w:r>
          </w:p>
        </w:tc>
        <w:tc>
          <w:tcPr>
            <w:tcW w:w="180" w:type="dxa"/>
            <w:vAlign w:val="bottom"/>
          </w:tcPr>
          <w:p>
            <w:pPr>
              <w:spacing w:after="0"/>
              <w:rPr>
                <w:sz w:val="12"/>
                <w:szCs w:val="12"/>
                <w:color w:val="auto"/>
              </w:rPr>
            </w:pPr>
          </w:p>
        </w:tc>
        <w:tc>
          <w:tcPr>
            <w:tcW w:w="18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00497F"/>
              </w:rPr>
              <w:t>(10,842)</w:t>
            </w:r>
          </w:p>
        </w:tc>
        <w:tc>
          <w:tcPr>
            <w:tcW w:w="18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(10,205)</w:t>
            </w:r>
          </w:p>
        </w:tc>
        <w:tc>
          <w:tcPr>
            <w:tcW w:w="17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(54,003)</w:t>
            </w:r>
          </w:p>
        </w:tc>
        <w:tc>
          <w:tcPr>
            <w:tcW w:w="0" w:type="dxa"/>
            <w:vAlign w:val="bottom"/>
          </w:tcPr>
          <w:p>
            <w:pPr>
              <w:spacing w:after="0"/>
              <w:rPr>
                <w:sz w:val="1"/>
                <w:szCs w:val="1"/>
                <w:color w:val="auto"/>
              </w:rPr>
            </w:pPr>
          </w:p>
        </w:tc>
      </w:tr>
      <w:tr>
        <w:trPr>
          <w:trHeight w:val="146"/>
        </w:trPr>
        <w:tc>
          <w:tcPr>
            <w:tcW w:w="4360" w:type="dxa"/>
            <w:vAlign w:val="bottom"/>
            <w:tcBorders>
              <w:right w:val="single" w:sz="8" w:color="auto"/>
            </w:tcBorders>
          </w:tcPr>
          <w:p>
            <w:pPr>
              <w:ind w:left="440"/>
              <w:spacing w:after="0"/>
              <w:rPr>
                <w:sz w:val="20"/>
                <w:szCs w:val="20"/>
                <w:color w:val="auto"/>
              </w:rPr>
            </w:pPr>
            <w:r>
              <w:rPr>
                <w:rFonts w:ascii="Arial" w:cs="Arial" w:eastAsia="Arial" w:hAnsi="Arial"/>
                <w:sz w:val="11"/>
                <w:szCs w:val="11"/>
                <w:color w:val="auto"/>
              </w:rPr>
              <w:t>Prior years</w:t>
            </w:r>
          </w:p>
        </w:tc>
        <w:tc>
          <w:tcPr>
            <w:tcW w:w="180" w:type="dxa"/>
            <w:vAlign w:val="bottom"/>
            <w:tcBorders>
              <w:bottom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(5,988)</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(4,280)</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(5,418)</w:t>
            </w:r>
          </w:p>
        </w:tc>
        <w:tc>
          <w:tcPr>
            <w:tcW w:w="0" w:type="dxa"/>
            <w:vAlign w:val="bottom"/>
          </w:tcPr>
          <w:p>
            <w:pPr>
              <w:spacing w:after="0"/>
              <w:rPr>
                <w:sz w:val="1"/>
                <w:szCs w:val="1"/>
                <w:color w:val="auto"/>
              </w:rPr>
            </w:pPr>
          </w:p>
        </w:tc>
      </w:tr>
      <w:tr>
        <w:trPr>
          <w:trHeight w:val="134"/>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Total paid</w:t>
            </w:r>
          </w:p>
        </w:tc>
        <w:tc>
          <w:tcPr>
            <w:tcW w:w="180" w:type="dxa"/>
            <w:vAlign w:val="bottom"/>
            <w:tcBorders>
              <w:bottom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00497F"/>
              </w:rPr>
              <w:t>(16,830)</w:t>
            </w:r>
          </w:p>
        </w:tc>
        <w:tc>
          <w:tcPr>
            <w:tcW w:w="1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(14,485)</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(59,421)</w:t>
            </w:r>
          </w:p>
        </w:tc>
        <w:tc>
          <w:tcPr>
            <w:tcW w:w="0" w:type="dxa"/>
            <w:vAlign w:val="bottom"/>
          </w:tcPr>
          <w:p>
            <w:pPr>
              <w:spacing w:after="0"/>
              <w:rPr>
                <w:sz w:val="1"/>
                <w:szCs w:val="1"/>
                <w:color w:val="auto"/>
              </w:rPr>
            </w:pPr>
          </w:p>
        </w:tc>
      </w:tr>
      <w:tr>
        <w:trPr>
          <w:trHeight w:val="133"/>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Reinsurance recoverables (R)</w:t>
            </w:r>
          </w:p>
        </w:tc>
        <w:tc>
          <w:tcPr>
            <w:tcW w:w="180" w:type="dxa"/>
            <w:vAlign w:val="bottom"/>
            <w:tcBorders>
              <w:bottom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b w:val="1"/>
                <w:bCs w:val="1"/>
                <w:color w:val="00497F"/>
              </w:rPr>
              <w:t>—</w:t>
            </w:r>
          </w:p>
        </w:tc>
        <w:tc>
          <w:tcPr>
            <w:tcW w:w="18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10</w:t>
            </w:r>
          </w:p>
        </w:tc>
        <w:tc>
          <w:tcPr>
            <w:tcW w:w="176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436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Ending balance</w:t>
            </w: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b w:val="1"/>
                <w:bCs w:val="1"/>
                <w:color w:val="00497F"/>
                <w:w w:val="71"/>
              </w:rPr>
              <w:t>$</w:t>
            </w:r>
          </w:p>
        </w:tc>
        <w:tc>
          <w:tcPr>
            <w:tcW w:w="188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b w:val="1"/>
                <w:bCs w:val="1"/>
                <w:color w:val="00497F"/>
              </w:rPr>
              <w:t>8,651</w:t>
            </w:r>
          </w:p>
        </w:tc>
        <w:tc>
          <w:tcPr>
            <w:tcW w:w="1820" w:type="dxa"/>
            <w:vAlign w:val="bottom"/>
            <w:tcBorders>
              <w:bottom w:val="single" w:sz="8" w:color="auto"/>
              <w:right w:val="single" w:sz="8" w:color="auto"/>
            </w:tcBorders>
          </w:tcPr>
          <w:p>
            <w:pPr>
              <w:jc w:val="right"/>
              <w:ind w:right="6"/>
              <w:spacing w:after="0"/>
              <w:rPr>
                <w:sz w:val="20"/>
                <w:szCs w:val="20"/>
                <w:color w:val="auto"/>
              </w:rPr>
            </w:pPr>
            <w:r>
              <w:rPr>
                <w:rFonts w:ascii="Arial" w:cs="Arial" w:eastAsia="Arial" w:hAnsi="Arial"/>
                <w:sz w:val="11"/>
                <w:szCs w:val="11"/>
                <w:color w:val="auto"/>
              </w:rPr>
              <w:t>$7,090</w:t>
            </w:r>
          </w:p>
        </w:tc>
        <w:tc>
          <w:tcPr>
            <w:tcW w:w="1760" w:type="dxa"/>
            <w:vAlign w:val="bottom"/>
            <w:tcBorders>
              <w:bottom w:val="single" w:sz="8" w:color="auto"/>
              <w:right w:val="single" w:sz="8" w:color="auto"/>
            </w:tcBorders>
          </w:tcPr>
          <w:p>
            <w:pPr>
              <w:jc w:val="right"/>
              <w:ind w:right="26"/>
              <w:spacing w:after="0"/>
              <w:rPr>
                <w:sz w:val="20"/>
                <w:szCs w:val="20"/>
                <w:color w:val="auto"/>
              </w:rPr>
            </w:pPr>
            <w:r>
              <w:rPr>
                <w:rFonts w:ascii="Arial" w:cs="Arial" w:eastAsia="Arial" w:hAnsi="Arial"/>
                <w:sz w:val="11"/>
                <w:szCs w:val="11"/>
                <w:color w:val="auto"/>
              </w:rPr>
              <w:t>$8,143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S-12</w:t>
      </w:r>
    </w:p>
    <w:p>
      <w:pPr>
        <w:sectPr>
          <w:pgSz w:w="11900" w:h="16838" w:orient="portrait"/>
          <w:cols w:equalWidth="0" w:num="1">
            <w:col w:w="10159"/>
          </w:cols>
          <w:pgMar w:left="300" w:top="654" w:right="1440" w:bottom="1440" w:gutter="0" w:footer="0" w:header="0"/>
        </w:sectPr>
      </w:pPr>
    </w:p>
    <w:bookmarkStart w:id="43" w:name="page44"/>
    <w:bookmarkEnd w:id="43"/>
    <w:p>
      <w:pPr>
        <w:spacing w:after="0"/>
        <w:rPr>
          <w:sz w:val="20"/>
          <w:szCs w:val="20"/>
          <w:color w:val="auto"/>
        </w:rPr>
      </w:pPr>
      <w:r>
        <w:rPr>
          <w:rFonts w:ascii="Arial" w:cs="Arial" w:eastAsia="Arial" w:hAnsi="Arial"/>
          <w:sz w:val="17"/>
          <w:szCs w:val="17"/>
          <w:color w:val="auto"/>
        </w:rPr>
        <w:t>Humana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Benefits Payable Statistics (Continued) (T)</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Days in Claims Payable</w: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00" w:type="dxa"/>
            <w:vAlign w:val="bottom"/>
          </w:tcPr>
          <w:p>
            <w:pPr>
              <w:jc w:val="center"/>
              <w:ind w:right="164"/>
              <w:spacing w:after="0"/>
              <w:rPr>
                <w:sz w:val="20"/>
                <w:szCs w:val="20"/>
                <w:color w:val="auto"/>
              </w:rPr>
            </w:pPr>
            <w:r>
              <w:rPr>
                <w:rFonts w:ascii="Arial" w:cs="Arial" w:eastAsia="Arial" w:hAnsi="Arial"/>
                <w:sz w:val="12"/>
                <w:szCs w:val="12"/>
                <w:b w:val="1"/>
                <w:bCs w:val="1"/>
                <w:color w:val="auto"/>
                <w:w w:val="98"/>
              </w:rPr>
              <w:t>Days in</w:t>
            </w:r>
          </w:p>
        </w:tc>
        <w:tc>
          <w:tcPr>
            <w:tcW w:w="720" w:type="dxa"/>
            <w:vAlign w:val="bottom"/>
            <w:gridSpan w:val="2"/>
          </w:tcPr>
          <w:p>
            <w:pPr>
              <w:jc w:val="center"/>
              <w:ind w:left="100"/>
              <w:spacing w:after="0"/>
              <w:rPr>
                <w:sz w:val="20"/>
                <w:szCs w:val="20"/>
                <w:color w:val="auto"/>
              </w:rPr>
            </w:pPr>
            <w:r>
              <w:rPr>
                <w:rFonts w:ascii="Arial" w:cs="Arial" w:eastAsia="Arial" w:hAnsi="Arial"/>
                <w:sz w:val="12"/>
                <w:szCs w:val="12"/>
                <w:b w:val="1"/>
                <w:bCs w:val="1"/>
                <w:color w:val="auto"/>
                <w:w w:val="99"/>
              </w:rPr>
              <w:t>Change</w:t>
            </w:r>
          </w:p>
        </w:tc>
        <w:tc>
          <w:tcPr>
            <w:tcW w:w="1540" w:type="dxa"/>
            <w:vAlign w:val="bottom"/>
            <w:gridSpan w:val="3"/>
            <w:vMerge w:val="restart"/>
          </w:tcPr>
          <w:p>
            <w:pPr>
              <w:jc w:val="right"/>
              <w:ind w:right="320"/>
              <w:spacing w:after="0"/>
              <w:rPr>
                <w:sz w:val="20"/>
                <w:szCs w:val="20"/>
                <w:color w:val="auto"/>
              </w:rPr>
            </w:pPr>
            <w:r>
              <w:rPr>
                <w:rFonts w:ascii="Arial" w:cs="Arial" w:eastAsia="Arial" w:hAnsi="Arial"/>
                <w:sz w:val="12"/>
                <w:szCs w:val="12"/>
                <w:b w:val="1"/>
                <w:bCs w:val="1"/>
                <w:color w:val="auto"/>
              </w:rPr>
              <w:t>Percentage</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20" w:type="dxa"/>
            <w:vAlign w:val="bottom"/>
            <w:vMerge w:val="restart"/>
          </w:tcPr>
          <w:p>
            <w:pPr>
              <w:ind w:left="1060"/>
              <w:spacing w:after="0"/>
              <w:rPr>
                <w:sz w:val="20"/>
                <w:szCs w:val="20"/>
                <w:color w:val="auto"/>
              </w:rPr>
            </w:pPr>
            <w:r>
              <w:rPr>
                <w:rFonts w:ascii="Arial" w:cs="Arial" w:eastAsia="Arial" w:hAnsi="Arial"/>
                <w:sz w:val="12"/>
                <w:szCs w:val="12"/>
                <w:b w:val="1"/>
                <w:bCs w:val="1"/>
                <w:color w:val="auto"/>
              </w:rPr>
              <w:t>Quarter Ended</w:t>
            </w:r>
          </w:p>
        </w:tc>
        <w:tc>
          <w:tcPr>
            <w:tcW w:w="1200" w:type="dxa"/>
            <w:vAlign w:val="bottom"/>
          </w:tcPr>
          <w:p>
            <w:pPr>
              <w:jc w:val="center"/>
              <w:ind w:right="144"/>
              <w:spacing w:after="0" w:line="117" w:lineRule="exact"/>
              <w:rPr>
                <w:sz w:val="20"/>
                <w:szCs w:val="20"/>
                <w:color w:val="auto"/>
              </w:rPr>
            </w:pPr>
            <w:r>
              <w:rPr>
                <w:rFonts w:ascii="Arial" w:cs="Arial" w:eastAsia="Arial" w:hAnsi="Arial"/>
                <w:sz w:val="12"/>
                <w:szCs w:val="12"/>
                <w:b w:val="1"/>
                <w:bCs w:val="1"/>
                <w:color w:val="auto"/>
              </w:rPr>
              <w:t>Claims</w:t>
            </w:r>
          </w:p>
        </w:tc>
        <w:tc>
          <w:tcPr>
            <w:tcW w:w="720" w:type="dxa"/>
            <w:vAlign w:val="bottom"/>
            <w:gridSpan w:val="2"/>
          </w:tcPr>
          <w:p>
            <w:pPr>
              <w:jc w:val="center"/>
              <w:ind w:left="100"/>
              <w:spacing w:after="0" w:line="117" w:lineRule="exact"/>
              <w:rPr>
                <w:sz w:val="20"/>
                <w:szCs w:val="20"/>
                <w:color w:val="auto"/>
              </w:rPr>
            </w:pPr>
            <w:r>
              <w:rPr>
                <w:rFonts w:ascii="Arial" w:cs="Arial" w:eastAsia="Arial" w:hAnsi="Arial"/>
                <w:sz w:val="12"/>
                <w:szCs w:val="12"/>
                <w:b w:val="1"/>
                <w:bCs w:val="1"/>
                <w:color w:val="auto"/>
              </w:rPr>
              <w:t>Last 4</w:t>
            </w:r>
          </w:p>
        </w:tc>
        <w:tc>
          <w:tcPr>
            <w:tcW w:w="15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020" w:type="dxa"/>
            <w:vAlign w:val="bottom"/>
            <w:vMerge w:val="continue"/>
          </w:tcPr>
          <w:p>
            <w:pPr>
              <w:spacing w:after="0"/>
              <w:rPr>
                <w:sz w:val="13"/>
                <w:szCs w:val="13"/>
                <w:color w:val="auto"/>
              </w:rPr>
            </w:pPr>
          </w:p>
        </w:tc>
        <w:tc>
          <w:tcPr>
            <w:tcW w:w="1200" w:type="dxa"/>
            <w:vAlign w:val="bottom"/>
          </w:tcPr>
          <w:p>
            <w:pPr>
              <w:jc w:val="center"/>
              <w:ind w:right="164"/>
              <w:spacing w:after="0"/>
              <w:rPr>
                <w:sz w:val="20"/>
                <w:szCs w:val="20"/>
                <w:color w:val="auto"/>
              </w:rPr>
            </w:pPr>
            <w:r>
              <w:rPr>
                <w:rFonts w:ascii="Arial" w:cs="Arial" w:eastAsia="Arial" w:hAnsi="Arial"/>
                <w:sz w:val="12"/>
                <w:szCs w:val="12"/>
                <w:b w:val="1"/>
                <w:bCs w:val="1"/>
                <w:color w:val="auto"/>
                <w:w w:val="99"/>
              </w:rPr>
              <w:t>Payable (DCP)</w:t>
            </w:r>
          </w:p>
        </w:tc>
        <w:tc>
          <w:tcPr>
            <w:tcW w:w="720" w:type="dxa"/>
            <w:vAlign w:val="bottom"/>
            <w:gridSpan w:val="2"/>
          </w:tcPr>
          <w:p>
            <w:pPr>
              <w:jc w:val="center"/>
              <w:ind w:left="80"/>
              <w:spacing w:after="0"/>
              <w:rPr>
                <w:sz w:val="20"/>
                <w:szCs w:val="20"/>
                <w:color w:val="auto"/>
              </w:rPr>
            </w:pPr>
            <w:r>
              <w:rPr>
                <w:rFonts w:ascii="Arial" w:cs="Arial" w:eastAsia="Arial" w:hAnsi="Arial"/>
                <w:sz w:val="12"/>
                <w:szCs w:val="12"/>
                <w:b w:val="1"/>
                <w:bCs w:val="1"/>
                <w:color w:val="auto"/>
                <w:w w:val="99"/>
              </w:rPr>
              <w:t>Quarters</w:t>
            </w:r>
          </w:p>
        </w:tc>
        <w:tc>
          <w:tcPr>
            <w:tcW w:w="70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w w:val="90"/>
              </w:rPr>
              <w:t>Change</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020" w:type="dxa"/>
            <w:vAlign w:val="bottom"/>
          </w:tcPr>
          <w:p>
            <w:pPr>
              <w:jc w:val="right"/>
              <w:ind w:right="24"/>
              <w:spacing w:after="0"/>
              <w:rPr>
                <w:sz w:val="20"/>
                <w:szCs w:val="20"/>
                <w:color w:val="auto"/>
              </w:rPr>
            </w:pPr>
            <w:r>
              <w:rPr>
                <w:rFonts w:ascii="Arial" w:cs="Arial" w:eastAsia="Arial" w:hAnsi="Arial"/>
                <w:sz w:val="11"/>
                <w:szCs w:val="11"/>
                <w:color w:val="auto"/>
              </w:rPr>
              <w:t>3/31/2020</w:t>
            </w:r>
          </w:p>
        </w:tc>
        <w:tc>
          <w:tcPr>
            <w:tcW w:w="1200" w:type="dxa"/>
            <w:vAlign w:val="bottom"/>
          </w:tcPr>
          <w:p>
            <w:pPr>
              <w:jc w:val="right"/>
              <w:ind w:right="124"/>
              <w:spacing w:after="0"/>
              <w:rPr>
                <w:sz w:val="20"/>
                <w:szCs w:val="20"/>
                <w:color w:val="auto"/>
              </w:rPr>
            </w:pPr>
            <w:r>
              <w:rPr>
                <w:rFonts w:ascii="Arial" w:cs="Arial" w:eastAsia="Arial" w:hAnsi="Arial"/>
                <w:sz w:val="11"/>
                <w:szCs w:val="11"/>
                <w:color w:val="auto"/>
              </w:rPr>
              <w:t>41.3</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406"/>
              <w:spacing w:after="0"/>
              <w:rPr>
                <w:sz w:val="20"/>
                <w:szCs w:val="20"/>
                <w:color w:val="auto"/>
              </w:rPr>
            </w:pPr>
            <w:r>
              <w:rPr>
                <w:rFonts w:ascii="Arial" w:cs="Arial" w:eastAsia="Arial" w:hAnsi="Arial"/>
                <w:sz w:val="11"/>
                <w:szCs w:val="11"/>
                <w:color w:val="auto"/>
              </w:rPr>
              <w:t>1.1</w:t>
            </w: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2.7 %</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020" w:type="dxa"/>
            <w:vAlign w:val="bottom"/>
          </w:tcPr>
          <w:p>
            <w:pPr>
              <w:jc w:val="right"/>
              <w:ind w:right="24"/>
              <w:spacing w:after="0"/>
              <w:rPr>
                <w:sz w:val="20"/>
                <w:szCs w:val="20"/>
                <w:color w:val="auto"/>
              </w:rPr>
            </w:pPr>
            <w:r>
              <w:rPr>
                <w:rFonts w:ascii="Arial" w:cs="Arial" w:eastAsia="Arial" w:hAnsi="Arial"/>
                <w:sz w:val="11"/>
                <w:szCs w:val="11"/>
                <w:color w:val="auto"/>
              </w:rPr>
              <w:t>6/30/2020</w:t>
            </w:r>
          </w:p>
        </w:tc>
        <w:tc>
          <w:tcPr>
            <w:tcW w:w="1200" w:type="dxa"/>
            <w:vAlign w:val="bottom"/>
          </w:tcPr>
          <w:p>
            <w:pPr>
              <w:jc w:val="right"/>
              <w:ind w:right="124"/>
              <w:spacing w:after="0"/>
              <w:rPr>
                <w:sz w:val="20"/>
                <w:szCs w:val="20"/>
                <w:color w:val="auto"/>
              </w:rPr>
            </w:pPr>
            <w:r>
              <w:rPr>
                <w:rFonts w:ascii="Arial" w:cs="Arial" w:eastAsia="Arial" w:hAnsi="Arial"/>
                <w:sz w:val="11"/>
                <w:szCs w:val="11"/>
                <w:color w:val="auto"/>
              </w:rPr>
              <w:t>51.2</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406"/>
              <w:spacing w:after="0"/>
              <w:rPr>
                <w:sz w:val="20"/>
                <w:szCs w:val="20"/>
                <w:color w:val="auto"/>
              </w:rPr>
            </w:pPr>
            <w:r>
              <w:rPr>
                <w:rFonts w:ascii="Arial" w:cs="Arial" w:eastAsia="Arial" w:hAnsi="Arial"/>
                <w:sz w:val="11"/>
                <w:szCs w:val="11"/>
                <w:color w:val="auto"/>
              </w:rPr>
              <w:t>11.3</w:t>
            </w: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28.3 %</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20" w:type="dxa"/>
            <w:vAlign w:val="bottom"/>
          </w:tcPr>
          <w:p>
            <w:pPr>
              <w:jc w:val="right"/>
              <w:ind w:right="24"/>
              <w:spacing w:after="0"/>
              <w:rPr>
                <w:sz w:val="20"/>
                <w:szCs w:val="20"/>
                <w:color w:val="auto"/>
              </w:rPr>
            </w:pPr>
            <w:r>
              <w:rPr>
                <w:rFonts w:ascii="Arial" w:cs="Arial" w:eastAsia="Arial" w:hAnsi="Arial"/>
                <w:sz w:val="11"/>
                <w:szCs w:val="11"/>
                <w:color w:val="auto"/>
              </w:rPr>
              <w:t>9/30/2020</w:t>
            </w:r>
          </w:p>
        </w:tc>
        <w:tc>
          <w:tcPr>
            <w:tcW w:w="1200" w:type="dxa"/>
            <w:vAlign w:val="bottom"/>
          </w:tcPr>
          <w:p>
            <w:pPr>
              <w:jc w:val="right"/>
              <w:ind w:right="124"/>
              <w:spacing w:after="0"/>
              <w:rPr>
                <w:sz w:val="20"/>
                <w:szCs w:val="20"/>
                <w:color w:val="auto"/>
              </w:rPr>
            </w:pPr>
            <w:r>
              <w:rPr>
                <w:rFonts w:ascii="Arial" w:cs="Arial" w:eastAsia="Arial" w:hAnsi="Arial"/>
                <w:sz w:val="11"/>
                <w:szCs w:val="11"/>
                <w:color w:val="auto"/>
              </w:rPr>
              <w:t>48.4</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406"/>
              <w:spacing w:after="0"/>
              <w:rPr>
                <w:sz w:val="20"/>
                <w:szCs w:val="20"/>
                <w:color w:val="auto"/>
              </w:rPr>
            </w:pPr>
            <w:r>
              <w:rPr>
                <w:rFonts w:ascii="Arial" w:cs="Arial" w:eastAsia="Arial" w:hAnsi="Arial"/>
                <w:sz w:val="11"/>
                <w:szCs w:val="11"/>
                <w:color w:val="auto"/>
              </w:rPr>
              <w:t>5.6</w:t>
            </w:r>
          </w:p>
        </w:tc>
        <w:tc>
          <w:tcPr>
            <w:tcW w:w="840" w:type="dxa"/>
            <w:vAlign w:val="bottom"/>
            <w:gridSpan w:val="2"/>
          </w:tcPr>
          <w:p>
            <w:pPr>
              <w:jc w:val="right"/>
              <w:ind w:right="20"/>
              <w:spacing w:after="0"/>
              <w:rPr>
                <w:sz w:val="20"/>
                <w:szCs w:val="20"/>
                <w:color w:val="auto"/>
              </w:rPr>
            </w:pPr>
            <w:r>
              <w:rPr>
                <w:rFonts w:ascii="Arial" w:cs="Arial" w:eastAsia="Arial" w:hAnsi="Arial"/>
                <w:sz w:val="11"/>
                <w:szCs w:val="11"/>
                <w:color w:val="auto"/>
              </w:rPr>
              <w:t>13.1 %</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12/31/2020</w:t>
            </w:r>
          </w:p>
        </w:tc>
        <w:tc>
          <w:tcPr>
            <w:tcW w:w="120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rPr>
              <w:t>46.2</w:t>
            </w:r>
          </w:p>
        </w:tc>
        <w:tc>
          <w:tcPr>
            <w:tcW w:w="6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rPr>
              <w:t>5.8</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14.4 %</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20" w:type="dxa"/>
            <w:vAlign w:val="bottom"/>
            <w:tcBorders>
              <w:left w:val="single" w:sz="8" w:color="auto"/>
              <w:bottom w:val="single" w:sz="8" w:color="auto"/>
            </w:tcBorders>
          </w:tcPr>
          <w:p>
            <w:pPr>
              <w:jc w:val="right"/>
              <w:ind w:right="24"/>
              <w:spacing w:after="0"/>
              <w:rPr>
                <w:sz w:val="20"/>
                <w:szCs w:val="20"/>
                <w:color w:val="auto"/>
              </w:rPr>
            </w:pPr>
            <w:r>
              <w:rPr>
                <w:rFonts w:ascii="Arial" w:cs="Arial" w:eastAsia="Arial" w:hAnsi="Arial"/>
                <w:sz w:val="11"/>
                <w:szCs w:val="11"/>
                <w:b w:val="1"/>
                <w:bCs w:val="1"/>
                <w:color w:val="00497F"/>
              </w:rPr>
              <w:t>3/31/2021</w:t>
            </w:r>
          </w:p>
        </w:tc>
        <w:tc>
          <w:tcPr>
            <w:tcW w:w="120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b w:val="1"/>
                <w:bCs w:val="1"/>
                <w:color w:val="00497F"/>
              </w:rPr>
              <w:t>45.0</w:t>
            </w: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00497F"/>
              </w:rPr>
              <w:t>3.7</w:t>
            </w:r>
          </w:p>
        </w:tc>
        <w:tc>
          <w:tcPr>
            <w:tcW w:w="84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1"/>
                <w:szCs w:val="11"/>
                <w:b w:val="1"/>
                <w:bCs w:val="1"/>
                <w:color w:val="00497F"/>
              </w:rPr>
              <w:t>9.0 %</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020" w:type="dxa"/>
            <w:vAlign w:val="bottom"/>
            <w:vMerge w:val="restart"/>
          </w:tcPr>
          <w:p>
            <w:pPr>
              <w:spacing w:after="0"/>
              <w:rPr>
                <w:sz w:val="20"/>
                <w:szCs w:val="20"/>
                <w:color w:val="auto"/>
              </w:rPr>
            </w:pPr>
            <w:r>
              <w:rPr>
                <w:rFonts w:ascii="Arial" w:cs="Arial" w:eastAsia="Arial" w:hAnsi="Arial"/>
                <w:sz w:val="12"/>
                <w:szCs w:val="12"/>
                <w:b w:val="1"/>
                <w:bCs w:val="1"/>
                <w:color w:val="auto"/>
              </w:rPr>
              <w:t>Change in Days in Claims Payable (U)</w:t>
            </w:r>
          </w:p>
        </w:tc>
        <w:tc>
          <w:tcPr>
            <w:tcW w:w="1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40" w:type="dxa"/>
            <w:vAlign w:val="bottom"/>
            <w:gridSpan w:val="2"/>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0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Borders>
              <w:right w:val="single" w:sz="8" w:color="auto"/>
            </w:tcBorders>
          </w:tcPr>
          <w:p>
            <w:pPr>
              <w:jc w:val="center"/>
              <w:ind w:right="66"/>
              <w:spacing w:after="0" w:line="107" w:lineRule="exact"/>
              <w:rPr>
                <w:sz w:val="20"/>
                <w:szCs w:val="20"/>
                <w:color w:val="auto"/>
              </w:rPr>
            </w:pPr>
            <w:r>
              <w:rPr>
                <w:rFonts w:ascii="Arial" w:cs="Arial" w:eastAsia="Arial" w:hAnsi="Arial"/>
                <w:sz w:val="11"/>
                <w:szCs w:val="11"/>
                <w:color w:val="auto"/>
                <w:w w:val="95"/>
              </w:rPr>
              <w:t>1Q</w:t>
            </w:r>
          </w:p>
        </w:tc>
        <w:tc>
          <w:tcPr>
            <w:tcW w:w="840" w:type="dxa"/>
            <w:vAlign w:val="bottom"/>
            <w:gridSpan w:val="2"/>
          </w:tcPr>
          <w:p>
            <w:pPr>
              <w:jc w:val="center"/>
              <w:ind w:right="60"/>
              <w:spacing w:after="0" w:line="107" w:lineRule="exact"/>
              <w:rPr>
                <w:sz w:val="20"/>
                <w:szCs w:val="20"/>
                <w:color w:val="auto"/>
              </w:rPr>
            </w:pPr>
            <w:r>
              <w:rPr>
                <w:rFonts w:ascii="Arial" w:cs="Arial" w:eastAsia="Arial" w:hAnsi="Arial"/>
                <w:sz w:val="11"/>
                <w:szCs w:val="11"/>
                <w:color w:val="auto"/>
                <w:w w:val="95"/>
              </w:rPr>
              <w:t>1Q</w:t>
            </w:r>
          </w:p>
        </w:tc>
        <w:tc>
          <w:tcPr>
            <w:tcW w:w="140" w:type="dxa"/>
            <w:vAlign w:val="bottom"/>
          </w:tcPr>
          <w:p>
            <w:pPr>
              <w:spacing w:after="0"/>
              <w:rPr>
                <w:sz w:val="9"/>
                <w:szCs w:val="9"/>
                <w:color w:val="auto"/>
              </w:rPr>
            </w:pPr>
          </w:p>
        </w:tc>
        <w:tc>
          <w:tcPr>
            <w:tcW w:w="880" w:type="dxa"/>
            <w:vAlign w:val="bottom"/>
            <w:gridSpan w:val="2"/>
          </w:tcPr>
          <w:p>
            <w:pPr>
              <w:jc w:val="center"/>
              <w:ind w:right="60"/>
              <w:spacing w:after="0" w:line="107" w:lineRule="exact"/>
              <w:rPr>
                <w:sz w:val="20"/>
                <w:szCs w:val="20"/>
                <w:color w:val="auto"/>
              </w:rPr>
            </w:pPr>
            <w:r>
              <w:rPr>
                <w:rFonts w:ascii="Arial" w:cs="Arial" w:eastAsia="Arial" w:hAnsi="Arial"/>
                <w:sz w:val="11"/>
                <w:szCs w:val="11"/>
                <w:color w:val="auto"/>
                <w:w w:val="95"/>
              </w:rPr>
              <w:t>4Q</w:t>
            </w:r>
          </w:p>
        </w:tc>
        <w:tc>
          <w:tcPr>
            <w:tcW w:w="820" w:type="dxa"/>
            <w:vAlign w:val="bottom"/>
          </w:tcPr>
          <w:p>
            <w:pPr>
              <w:jc w:val="right"/>
              <w:ind w:right="66"/>
              <w:spacing w:after="0" w:line="107" w:lineRule="exact"/>
              <w:rPr>
                <w:sz w:val="20"/>
                <w:szCs w:val="20"/>
                <w:color w:val="auto"/>
              </w:rPr>
            </w:pPr>
            <w:r>
              <w:rPr>
                <w:rFonts w:ascii="Arial" w:cs="Arial" w:eastAsia="Arial" w:hAnsi="Arial"/>
                <w:sz w:val="11"/>
                <w:szCs w:val="11"/>
                <w:color w:val="auto"/>
              </w:rPr>
              <w:t>Last Twelve</w:t>
            </w:r>
          </w:p>
        </w:tc>
        <w:tc>
          <w:tcPr>
            <w:tcW w:w="0" w:type="dxa"/>
            <w:vAlign w:val="bottom"/>
          </w:tcPr>
          <w:p>
            <w:pPr>
              <w:spacing w:after="0"/>
              <w:rPr>
                <w:sz w:val="1"/>
                <w:szCs w:val="1"/>
                <w:color w:val="auto"/>
              </w:rPr>
            </w:pPr>
          </w:p>
        </w:tc>
      </w:tr>
      <w:tr>
        <w:trPr>
          <w:trHeight w:val="132"/>
        </w:trPr>
        <w:tc>
          <w:tcPr>
            <w:tcW w:w="3020" w:type="dxa"/>
            <w:vAlign w:val="bottom"/>
            <w:vMerge w:val="restart"/>
          </w:tcPr>
          <w:p>
            <w:pPr>
              <w:spacing w:after="0"/>
              <w:rPr>
                <w:sz w:val="20"/>
                <w:szCs w:val="20"/>
                <w:color w:val="auto"/>
              </w:rPr>
            </w:pPr>
            <w:r>
              <w:rPr>
                <w:rFonts w:ascii="Arial" w:cs="Arial" w:eastAsia="Arial" w:hAnsi="Arial"/>
                <w:sz w:val="12"/>
                <w:szCs w:val="12"/>
                <w:b w:val="1"/>
                <w:bCs w:val="1"/>
                <w:color w:val="auto"/>
              </w:rPr>
              <w:t>DCP—beginning of period</w:t>
            </w:r>
          </w:p>
        </w:tc>
        <w:tc>
          <w:tcPr>
            <w:tcW w:w="12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right w:val="single" w:sz="8" w:color="auto"/>
            </w:tcBorders>
          </w:tcPr>
          <w:p>
            <w:pPr>
              <w:jc w:val="right"/>
              <w:ind w:right="226"/>
              <w:spacing w:after="0"/>
              <w:rPr>
                <w:sz w:val="20"/>
                <w:szCs w:val="20"/>
                <w:color w:val="auto"/>
              </w:rPr>
            </w:pPr>
            <w:r>
              <w:rPr>
                <w:rFonts w:ascii="Arial" w:cs="Arial" w:eastAsia="Arial" w:hAnsi="Arial"/>
                <w:sz w:val="11"/>
                <w:szCs w:val="11"/>
                <w:color w:val="auto"/>
              </w:rPr>
              <w:t>2021</w:t>
            </w:r>
          </w:p>
        </w:tc>
        <w:tc>
          <w:tcPr>
            <w:tcW w:w="78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2020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color w:val="auto"/>
              </w:rPr>
              <w:t>2020</w:t>
            </w:r>
          </w:p>
        </w:tc>
        <w:tc>
          <w:tcPr>
            <w:tcW w:w="60" w:type="dxa"/>
            <w:vAlign w:val="bottom"/>
          </w:tcPr>
          <w:p>
            <w:pPr>
              <w:spacing w:after="0"/>
              <w:rPr>
                <w:sz w:val="11"/>
                <w:szCs w:val="11"/>
                <w:color w:val="auto"/>
              </w:rPr>
            </w:pPr>
          </w:p>
        </w:tc>
        <w:tc>
          <w:tcPr>
            <w:tcW w:w="8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rPr>
              <w:t>Months</w:t>
            </w:r>
          </w:p>
        </w:tc>
        <w:tc>
          <w:tcPr>
            <w:tcW w:w="0" w:type="dxa"/>
            <w:vAlign w:val="bottom"/>
          </w:tcPr>
          <w:p>
            <w:pPr>
              <w:spacing w:after="0"/>
              <w:rPr>
                <w:sz w:val="1"/>
                <w:szCs w:val="1"/>
                <w:color w:val="auto"/>
              </w:rPr>
            </w:pPr>
          </w:p>
        </w:tc>
      </w:tr>
      <w:tr>
        <w:trPr>
          <w:trHeight w:val="135"/>
        </w:trPr>
        <w:tc>
          <w:tcPr>
            <w:tcW w:w="3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46.2</w:t>
            </w:r>
          </w:p>
        </w:tc>
        <w:tc>
          <w:tcPr>
            <w:tcW w:w="780" w:type="dxa"/>
            <w:vAlign w:val="bottom"/>
          </w:tcPr>
          <w:p>
            <w:pPr>
              <w:jc w:val="right"/>
              <w:spacing w:after="0"/>
              <w:rPr>
                <w:sz w:val="20"/>
                <w:szCs w:val="20"/>
                <w:color w:val="auto"/>
              </w:rPr>
            </w:pPr>
            <w:r>
              <w:rPr>
                <w:rFonts w:ascii="Arial" w:cs="Arial" w:eastAsia="Arial" w:hAnsi="Arial"/>
                <w:sz w:val="11"/>
                <w:szCs w:val="11"/>
                <w:color w:val="auto"/>
              </w:rPr>
              <w:t>40.4</w:t>
            </w:r>
          </w:p>
        </w:tc>
        <w:tc>
          <w:tcPr>
            <w:tcW w:w="60" w:type="dxa"/>
            <w:vAlign w:val="bottom"/>
          </w:tcPr>
          <w:p>
            <w:pPr>
              <w:spacing w:after="0"/>
              <w:rPr>
                <w:sz w:val="11"/>
                <w:szCs w:val="11"/>
                <w:color w:val="auto"/>
              </w:rPr>
            </w:pPr>
          </w:p>
        </w:tc>
        <w:tc>
          <w:tcPr>
            <w:tcW w:w="960" w:type="dxa"/>
            <w:vAlign w:val="bottom"/>
            <w:gridSpan w:val="2"/>
          </w:tcPr>
          <w:p>
            <w:pPr>
              <w:jc w:val="right"/>
              <w:ind w:right="6"/>
              <w:spacing w:after="0"/>
              <w:rPr>
                <w:sz w:val="20"/>
                <w:szCs w:val="20"/>
                <w:color w:val="auto"/>
              </w:rPr>
            </w:pPr>
            <w:r>
              <w:rPr>
                <w:rFonts w:ascii="Arial" w:cs="Arial" w:eastAsia="Arial" w:hAnsi="Arial"/>
                <w:sz w:val="11"/>
                <w:szCs w:val="11"/>
                <w:color w:val="auto"/>
              </w:rPr>
              <w:t>48.4</w:t>
            </w:r>
          </w:p>
        </w:tc>
        <w:tc>
          <w:tcPr>
            <w:tcW w:w="6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41.3</w:t>
            </w:r>
          </w:p>
        </w:tc>
        <w:tc>
          <w:tcPr>
            <w:tcW w:w="0" w:type="dxa"/>
            <w:vAlign w:val="bottom"/>
          </w:tcPr>
          <w:p>
            <w:pPr>
              <w:spacing w:after="0"/>
              <w:rPr>
                <w:sz w:val="1"/>
                <w:szCs w:val="1"/>
                <w:color w:val="auto"/>
              </w:rPr>
            </w:pPr>
          </w:p>
        </w:tc>
      </w:tr>
      <w:tr>
        <w:trPr>
          <w:trHeight w:val="140"/>
        </w:trPr>
        <w:tc>
          <w:tcPr>
            <w:tcW w:w="3020" w:type="dxa"/>
            <w:vAlign w:val="bottom"/>
          </w:tcPr>
          <w:p>
            <w:pPr>
              <w:ind w:left="220"/>
              <w:spacing w:after="0"/>
              <w:rPr>
                <w:sz w:val="20"/>
                <w:szCs w:val="20"/>
                <w:color w:val="auto"/>
              </w:rPr>
            </w:pPr>
            <w:r>
              <w:rPr>
                <w:rFonts w:ascii="Arial" w:cs="Arial" w:eastAsia="Arial" w:hAnsi="Arial"/>
                <w:sz w:val="11"/>
                <w:szCs w:val="11"/>
                <w:color w:val="auto"/>
              </w:rPr>
              <w:t>Components of change in DCP:</w:t>
            </w:r>
          </w:p>
        </w:tc>
        <w:tc>
          <w:tcPr>
            <w:tcW w:w="12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20" w:type="dxa"/>
            <w:vAlign w:val="bottom"/>
          </w:tcPr>
          <w:p>
            <w:pPr>
              <w:ind w:left="440"/>
              <w:spacing w:after="0"/>
              <w:rPr>
                <w:sz w:val="20"/>
                <w:szCs w:val="20"/>
                <w:color w:val="auto"/>
              </w:rPr>
            </w:pPr>
            <w:r>
              <w:rPr>
                <w:rFonts w:ascii="Arial" w:cs="Arial" w:eastAsia="Arial" w:hAnsi="Arial"/>
                <w:sz w:val="11"/>
                <w:szCs w:val="11"/>
                <w:color w:val="auto"/>
              </w:rPr>
              <w:t>Provider accruals (V)</w:t>
            </w:r>
          </w:p>
        </w:tc>
        <w:tc>
          <w:tcPr>
            <w:tcW w:w="12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(0.9)</w:t>
            </w:r>
          </w:p>
        </w:tc>
        <w:tc>
          <w:tcPr>
            <w:tcW w:w="780" w:type="dxa"/>
            <w:vAlign w:val="bottom"/>
          </w:tcPr>
          <w:p>
            <w:pPr>
              <w:jc w:val="right"/>
              <w:spacing w:after="0"/>
              <w:rPr>
                <w:sz w:val="20"/>
                <w:szCs w:val="20"/>
                <w:color w:val="auto"/>
              </w:rPr>
            </w:pPr>
            <w:r>
              <w:rPr>
                <w:rFonts w:ascii="Arial" w:cs="Arial" w:eastAsia="Arial" w:hAnsi="Arial"/>
                <w:sz w:val="11"/>
                <w:szCs w:val="11"/>
                <w:color w:val="auto"/>
              </w:rPr>
              <w:t>0.2</w:t>
            </w:r>
          </w:p>
        </w:tc>
        <w:tc>
          <w:tcPr>
            <w:tcW w:w="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6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44"/>
        </w:trPr>
        <w:tc>
          <w:tcPr>
            <w:tcW w:w="3020" w:type="dxa"/>
            <w:vAlign w:val="bottom"/>
          </w:tcPr>
          <w:p>
            <w:pPr>
              <w:ind w:left="540"/>
              <w:spacing w:after="0"/>
              <w:rPr>
                <w:sz w:val="20"/>
                <w:szCs w:val="20"/>
                <w:color w:val="auto"/>
              </w:rPr>
            </w:pPr>
            <w:r>
              <w:rPr>
                <w:rFonts w:ascii="Arial" w:cs="Arial" w:eastAsia="Arial" w:hAnsi="Arial"/>
                <w:sz w:val="11"/>
                <w:szCs w:val="11"/>
                <w:color w:val="auto"/>
              </w:rPr>
              <w:t>Medical fee-for-service (W)</w:t>
            </w:r>
          </w:p>
        </w:tc>
        <w:tc>
          <w:tcPr>
            <w:tcW w:w="12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780" w:type="dxa"/>
            <w:vAlign w:val="bottom"/>
          </w:tcPr>
          <w:p>
            <w:pPr>
              <w:jc w:val="right"/>
              <w:spacing w:after="0"/>
              <w:rPr>
                <w:sz w:val="20"/>
                <w:szCs w:val="20"/>
                <w:color w:val="auto"/>
              </w:rPr>
            </w:pPr>
            <w:r>
              <w:rPr>
                <w:rFonts w:ascii="Arial" w:cs="Arial" w:eastAsia="Arial" w:hAnsi="Arial"/>
                <w:sz w:val="11"/>
                <w:szCs w:val="11"/>
                <w:color w:val="auto"/>
              </w:rPr>
              <w:t>0.6</w:t>
            </w:r>
          </w:p>
        </w:tc>
        <w:tc>
          <w:tcPr>
            <w:tcW w:w="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6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0.3</w:t>
            </w:r>
          </w:p>
        </w:tc>
        <w:tc>
          <w:tcPr>
            <w:tcW w:w="0" w:type="dxa"/>
            <w:vAlign w:val="bottom"/>
          </w:tcPr>
          <w:p>
            <w:pPr>
              <w:spacing w:after="0"/>
              <w:rPr>
                <w:sz w:val="1"/>
                <w:szCs w:val="1"/>
                <w:color w:val="auto"/>
              </w:rPr>
            </w:pPr>
          </w:p>
        </w:tc>
      </w:tr>
      <w:tr>
        <w:trPr>
          <w:trHeight w:val="144"/>
        </w:trPr>
        <w:tc>
          <w:tcPr>
            <w:tcW w:w="3020" w:type="dxa"/>
            <w:vAlign w:val="bottom"/>
          </w:tcPr>
          <w:p>
            <w:pPr>
              <w:ind w:left="440"/>
              <w:spacing w:after="0"/>
              <w:rPr>
                <w:sz w:val="20"/>
                <w:szCs w:val="20"/>
                <w:color w:val="auto"/>
              </w:rPr>
            </w:pPr>
            <w:r>
              <w:rPr>
                <w:rFonts w:ascii="Arial" w:cs="Arial" w:eastAsia="Arial" w:hAnsi="Arial"/>
                <w:sz w:val="11"/>
                <w:szCs w:val="11"/>
                <w:color w:val="auto"/>
              </w:rPr>
              <w:t>Pharmacy (X)</w:t>
            </w:r>
          </w:p>
        </w:tc>
        <w:tc>
          <w:tcPr>
            <w:tcW w:w="12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1.0</w:t>
            </w:r>
          </w:p>
        </w:tc>
        <w:tc>
          <w:tcPr>
            <w:tcW w:w="780" w:type="dxa"/>
            <w:vAlign w:val="bottom"/>
          </w:tcPr>
          <w:p>
            <w:pPr>
              <w:jc w:val="right"/>
              <w:spacing w:after="0"/>
              <w:rPr>
                <w:sz w:val="20"/>
                <w:szCs w:val="20"/>
                <w:color w:val="auto"/>
              </w:rPr>
            </w:pPr>
            <w:r>
              <w:rPr>
                <w:rFonts w:ascii="Arial" w:cs="Arial" w:eastAsia="Arial" w:hAnsi="Arial"/>
                <w:sz w:val="11"/>
                <w:szCs w:val="11"/>
                <w:color w:val="auto"/>
              </w:rPr>
              <w:t>0.3</w:t>
            </w:r>
          </w:p>
        </w:tc>
        <w:tc>
          <w:tcPr>
            <w:tcW w:w="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6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0.4</w:t>
            </w:r>
          </w:p>
        </w:tc>
        <w:tc>
          <w:tcPr>
            <w:tcW w:w="0" w:type="dxa"/>
            <w:vAlign w:val="bottom"/>
          </w:tcPr>
          <w:p>
            <w:pPr>
              <w:spacing w:after="0"/>
              <w:rPr>
                <w:sz w:val="1"/>
                <w:szCs w:val="1"/>
                <w:color w:val="auto"/>
              </w:rPr>
            </w:pPr>
          </w:p>
        </w:tc>
      </w:tr>
      <w:tr>
        <w:trPr>
          <w:trHeight w:val="144"/>
        </w:trPr>
        <w:tc>
          <w:tcPr>
            <w:tcW w:w="3020" w:type="dxa"/>
            <w:vAlign w:val="bottom"/>
          </w:tcPr>
          <w:p>
            <w:pPr>
              <w:ind w:left="440"/>
              <w:spacing w:after="0"/>
              <w:rPr>
                <w:sz w:val="20"/>
                <w:szCs w:val="20"/>
                <w:color w:val="auto"/>
              </w:rPr>
            </w:pPr>
            <w:r>
              <w:rPr>
                <w:rFonts w:ascii="Arial" w:cs="Arial" w:eastAsia="Arial" w:hAnsi="Arial"/>
                <w:sz w:val="11"/>
                <w:szCs w:val="11"/>
                <w:color w:val="auto"/>
              </w:rPr>
              <w:t>Processed claims inventory (Y)</w:t>
            </w:r>
          </w:p>
        </w:tc>
        <w:tc>
          <w:tcPr>
            <w:tcW w:w="12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(0.1)</w:t>
            </w:r>
          </w:p>
        </w:tc>
        <w:tc>
          <w:tcPr>
            <w:tcW w:w="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(0.4)</w:t>
            </w:r>
          </w:p>
        </w:tc>
        <w:tc>
          <w:tcPr>
            <w:tcW w:w="60" w:type="dxa"/>
            <w:vAlign w:val="bottom"/>
          </w:tcPr>
          <w:p>
            <w:pPr>
              <w:spacing w:after="0"/>
              <w:rPr>
                <w:sz w:val="12"/>
                <w:szCs w:val="12"/>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0.9</w:t>
            </w:r>
          </w:p>
        </w:tc>
        <w:tc>
          <w:tcPr>
            <w:tcW w:w="0" w:type="dxa"/>
            <w:vAlign w:val="bottom"/>
          </w:tcPr>
          <w:p>
            <w:pPr>
              <w:spacing w:after="0"/>
              <w:rPr>
                <w:sz w:val="1"/>
                <w:szCs w:val="1"/>
                <w:color w:val="auto"/>
              </w:rPr>
            </w:pPr>
          </w:p>
        </w:tc>
      </w:tr>
      <w:tr>
        <w:trPr>
          <w:trHeight w:val="144"/>
        </w:trPr>
        <w:tc>
          <w:tcPr>
            <w:tcW w:w="3020" w:type="dxa"/>
            <w:vAlign w:val="bottom"/>
          </w:tcPr>
          <w:p>
            <w:pPr>
              <w:ind w:left="440"/>
              <w:spacing w:after="0"/>
              <w:rPr>
                <w:sz w:val="20"/>
                <w:szCs w:val="20"/>
                <w:color w:val="auto"/>
              </w:rPr>
            </w:pPr>
            <w:r>
              <w:rPr>
                <w:rFonts w:ascii="Arial" w:cs="Arial" w:eastAsia="Arial" w:hAnsi="Arial"/>
                <w:sz w:val="11"/>
                <w:szCs w:val="11"/>
                <w:color w:val="auto"/>
              </w:rPr>
              <w:t>Other (Z)</w:t>
            </w:r>
          </w:p>
        </w:tc>
        <w:tc>
          <w:tcPr>
            <w:tcW w:w="12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37"/>
        </w:trPr>
        <w:tc>
          <w:tcPr>
            <w:tcW w:w="3020" w:type="dxa"/>
            <w:vAlign w:val="bottom"/>
          </w:tcPr>
          <w:p>
            <w:pPr>
              <w:spacing w:after="0"/>
              <w:rPr>
                <w:sz w:val="20"/>
                <w:szCs w:val="20"/>
                <w:color w:val="auto"/>
              </w:rPr>
            </w:pPr>
            <w:r>
              <w:rPr>
                <w:rFonts w:ascii="Arial" w:cs="Arial" w:eastAsia="Arial" w:hAnsi="Arial"/>
                <w:sz w:val="12"/>
                <w:szCs w:val="12"/>
                <w:b w:val="1"/>
                <w:bCs w:val="1"/>
                <w:color w:val="auto"/>
              </w:rPr>
              <w:t>DCP—end of period</w:t>
            </w:r>
          </w:p>
        </w:tc>
        <w:tc>
          <w:tcPr>
            <w:tcW w:w="120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45.0</w:t>
            </w:r>
          </w:p>
        </w:tc>
        <w:tc>
          <w:tcPr>
            <w:tcW w:w="780" w:type="dxa"/>
            <w:vAlign w:val="bottom"/>
          </w:tcPr>
          <w:p>
            <w:pPr>
              <w:jc w:val="right"/>
              <w:spacing w:after="0"/>
              <w:rPr>
                <w:sz w:val="20"/>
                <w:szCs w:val="20"/>
                <w:color w:val="auto"/>
              </w:rPr>
            </w:pPr>
            <w:r>
              <w:rPr>
                <w:rFonts w:ascii="Arial" w:cs="Arial" w:eastAsia="Arial" w:hAnsi="Arial"/>
                <w:sz w:val="11"/>
                <w:szCs w:val="11"/>
                <w:color w:val="auto"/>
              </w:rPr>
              <w:t>41.3</w:t>
            </w:r>
          </w:p>
        </w:tc>
        <w:tc>
          <w:tcPr>
            <w:tcW w:w="60" w:type="dxa"/>
            <w:vAlign w:val="bottom"/>
          </w:tcPr>
          <w:p>
            <w:pPr>
              <w:spacing w:after="0"/>
              <w:rPr>
                <w:sz w:val="11"/>
                <w:szCs w:val="11"/>
                <w:color w:val="auto"/>
              </w:rPr>
            </w:pPr>
          </w:p>
        </w:tc>
        <w:tc>
          <w:tcPr>
            <w:tcW w:w="960" w:type="dxa"/>
            <w:vAlign w:val="bottom"/>
            <w:gridSpan w:val="2"/>
          </w:tcPr>
          <w:p>
            <w:pPr>
              <w:jc w:val="right"/>
              <w:ind w:right="6"/>
              <w:spacing w:after="0"/>
              <w:rPr>
                <w:sz w:val="20"/>
                <w:szCs w:val="20"/>
                <w:color w:val="auto"/>
              </w:rPr>
            </w:pPr>
            <w:r>
              <w:rPr>
                <w:rFonts w:ascii="Arial" w:cs="Arial" w:eastAsia="Arial" w:hAnsi="Arial"/>
                <w:sz w:val="11"/>
                <w:szCs w:val="11"/>
                <w:color w:val="auto"/>
              </w:rPr>
              <w:t>46.2</w:t>
            </w:r>
          </w:p>
        </w:tc>
        <w:tc>
          <w:tcPr>
            <w:tcW w:w="60" w:type="dxa"/>
            <w:vAlign w:val="bottom"/>
          </w:tcPr>
          <w:p>
            <w:pPr>
              <w:spacing w:after="0"/>
              <w:rPr>
                <w:sz w:val="11"/>
                <w:szCs w:val="11"/>
                <w:color w:val="auto"/>
              </w:rPr>
            </w:pP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45.0</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2"/>
                <w:szCs w:val="12"/>
                <w:b w:val="1"/>
                <w:bCs w:val="1"/>
                <w:color w:val="auto"/>
              </w:rPr>
              <w:t>Total change from beginning of period</w:t>
            </w: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02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(1.2)</w:t>
            </w:r>
          </w:p>
        </w:tc>
        <w:tc>
          <w:tcPr>
            <w:tcW w:w="780" w:type="dxa"/>
            <w:vAlign w:val="bottom"/>
          </w:tcPr>
          <w:p>
            <w:pPr>
              <w:jc w:val="right"/>
              <w:spacing w:after="0" w:line="120" w:lineRule="exact"/>
              <w:rPr>
                <w:sz w:val="20"/>
                <w:szCs w:val="20"/>
                <w:color w:val="auto"/>
              </w:rPr>
            </w:pPr>
            <w:r>
              <w:rPr>
                <w:rFonts w:ascii="Arial" w:cs="Arial" w:eastAsia="Arial" w:hAnsi="Arial"/>
                <w:sz w:val="11"/>
                <w:szCs w:val="11"/>
                <w:color w:val="auto"/>
              </w:rPr>
              <w:t>0.9</w:t>
            </w:r>
          </w:p>
        </w:tc>
        <w:tc>
          <w:tcPr>
            <w:tcW w:w="60" w:type="dxa"/>
            <w:vAlign w:val="bottom"/>
          </w:tcPr>
          <w:p>
            <w:pPr>
              <w:spacing w:after="0"/>
              <w:rPr>
                <w:sz w:val="10"/>
                <w:szCs w:val="10"/>
                <w:color w:val="auto"/>
              </w:rPr>
            </w:pPr>
          </w:p>
        </w:tc>
        <w:tc>
          <w:tcPr>
            <w:tcW w:w="96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(2.2)</w:t>
            </w:r>
          </w:p>
        </w:tc>
        <w:tc>
          <w:tcPr>
            <w:tcW w:w="60" w:type="dxa"/>
            <w:vAlign w:val="bottom"/>
          </w:tcPr>
          <w:p>
            <w:pPr>
              <w:spacing w:after="0"/>
              <w:rPr>
                <w:sz w:val="10"/>
                <w:szCs w:val="10"/>
                <w:color w:val="auto"/>
              </w:rPr>
            </w:pPr>
          </w:p>
        </w:tc>
        <w:tc>
          <w:tcPr>
            <w:tcW w:w="820" w:type="dxa"/>
            <w:vAlign w:val="bottom"/>
          </w:tcPr>
          <w:p>
            <w:pPr>
              <w:jc w:val="right"/>
              <w:ind w:right="6"/>
              <w:spacing w:after="0" w:line="120" w:lineRule="exact"/>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S-13</w:t>
      </w:r>
    </w:p>
    <w:p>
      <w:pPr>
        <w:sectPr>
          <w:pgSz w:w="11900" w:h="16838" w:orient="portrait"/>
          <w:cols w:equalWidth="0" w:num="1">
            <w:col w:w="10159"/>
          </w:cols>
          <w:pgMar w:left="300" w:top="654" w:right="1440" w:bottom="1440" w:gutter="0" w:footer="0" w:header="0"/>
        </w:sectPr>
      </w:pPr>
    </w:p>
    <w:bookmarkStart w:id="44" w:name="page45"/>
    <w:bookmarkEnd w:id="44"/>
    <w:p>
      <w:pPr>
        <w:spacing w:after="0"/>
        <w:rPr>
          <w:sz w:val="20"/>
          <w:szCs w:val="20"/>
          <w:color w:val="auto"/>
        </w:rPr>
      </w:pPr>
      <w:r>
        <w:rPr>
          <w:rFonts w:ascii="Arial" w:cs="Arial" w:eastAsia="Arial" w:hAnsi="Arial"/>
          <w:sz w:val="9"/>
          <w:szCs w:val="9"/>
          <w:b w:val="1"/>
          <w:bCs w:val="1"/>
          <w:color w:val="auto"/>
        </w:rPr>
        <w:t>Humana Inc.</w:t>
      </w:r>
    </w:p>
    <w:p>
      <w:pPr>
        <w:spacing w:after="0" w:line="14"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Footnotes to Statistical Schedules and Supplementary Information</w:t>
      </w:r>
    </w:p>
    <w:p>
      <w:pPr>
        <w:spacing w:after="0" w:line="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1Q21 Earnings Release</w:t>
      </w:r>
    </w:p>
    <w:p>
      <w:pPr>
        <w:spacing w:after="0" w:line="146" w:lineRule="exact"/>
        <w:rPr>
          <w:sz w:val="20"/>
          <w:szCs w:val="20"/>
          <w:color w:val="auto"/>
        </w:rPr>
      </w:pPr>
    </w:p>
    <w:p>
      <w:pPr>
        <w:ind w:left="540" w:hanging="224"/>
        <w:spacing w:after="0"/>
        <w:tabs>
          <w:tab w:leader="none" w:pos="5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Put/call valuation adjustments associated with the company's non-consolidating minority interest investments.</w:t>
      </w:r>
    </w:p>
    <w:p>
      <w:pPr>
        <w:ind w:left="540" w:hanging="224"/>
        <w:spacing w:after="0" w:line="225" w:lineRule="auto"/>
        <w:tabs>
          <w:tab w:leader="none" w:pos="5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Net earnings associated with the company's non-consolidating minority interest investments.</w:t>
      </w:r>
    </w:p>
    <w:p>
      <w:pPr>
        <w:ind w:left="540" w:hanging="224"/>
        <w:spacing w:after="0" w:line="225" w:lineRule="auto"/>
        <w:tabs>
          <w:tab w:leader="none" w:pos="5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The Medicaid and other category includes premiums associated with the company’s Medicaid business.</w:t>
      </w:r>
    </w:p>
    <w:p>
      <w:pPr>
        <w:ind w:left="540" w:hanging="224"/>
        <w:spacing w:after="0" w:line="225" w:lineRule="auto"/>
        <w:tabs>
          <w:tab w:leader="none" w:pos="5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The ASO and other category is primarily comprised of Administrative Services Only (ASO) fees and other ancillary services fees, including military services unless separately disclosed.</w:t>
      </w:r>
    </w:p>
    <w:p>
      <w:pPr>
        <w:ind w:left="560" w:hanging="244"/>
        <w:spacing w:after="0" w:line="225" w:lineRule="auto"/>
        <w:tabs>
          <w:tab w:leader="none" w:pos="5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Includes Medicaid Temporary Assistance for Needy Families (TANF), dual-eligible demonstration, and Long-Term Support Services (LTSS) from state-based contracts.</w:t>
      </w:r>
    </w:p>
    <w:p>
      <w:pPr>
        <w:ind w:left="540" w:right="260" w:hanging="224"/>
        <w:spacing w:after="0" w:line="225" w:lineRule="auto"/>
        <w:tabs>
          <w:tab w:leader="none" w:pos="554" w:val="left"/>
        </w:tabs>
        <w:numPr>
          <w:ilvl w:val="0"/>
          <w:numId w:val="47"/>
        </w:numPr>
        <w:rPr>
          <w:rFonts w:ascii="Arial" w:cs="Arial" w:eastAsia="Arial" w:hAnsi="Arial"/>
          <w:sz w:val="10"/>
          <w:szCs w:val="10"/>
          <w:color w:val="auto"/>
        </w:rPr>
      </w:pPr>
      <w:r>
        <w:rPr>
          <w:rFonts w:ascii="Arial" w:cs="Arial" w:eastAsia="Arial" w:hAnsi="Arial"/>
          <w:sz w:val="10"/>
          <w:szCs w:val="10"/>
          <w:color w:val="auto"/>
        </w:rPr>
        <w:t>Fully-insured dental membership as reported does not include Humana members that have a Medicare Advantage plan that includes an embedded dental benefit. Costs associated with these dental benefits, however, are recorded in the Group and Specialty segment earnings results.</w:t>
      </w:r>
    </w:p>
    <w:p>
      <w:pPr>
        <w:ind w:left="540" w:hanging="224"/>
        <w:spacing w:after="0" w:line="225" w:lineRule="auto"/>
        <w:tabs>
          <w:tab w:leader="none" w:pos="5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Other supplemental benefits include group life policies.</w:t>
      </w:r>
    </w:p>
    <w:p>
      <w:pPr>
        <w:ind w:left="540" w:right="260" w:hanging="224"/>
        <w:spacing w:after="0" w:line="225" w:lineRule="auto"/>
        <w:tabs>
          <w:tab w:leader="none" w:pos="547" w:val="left"/>
        </w:tabs>
        <w:numPr>
          <w:ilvl w:val="0"/>
          <w:numId w:val="47"/>
        </w:numPr>
        <w:rPr>
          <w:rFonts w:ascii="Arial" w:cs="Arial" w:eastAsia="Arial" w:hAnsi="Arial"/>
          <w:sz w:val="10"/>
          <w:szCs w:val="10"/>
          <w:color w:val="auto"/>
        </w:rPr>
      </w:pPr>
      <w:r>
        <w:rPr>
          <w:rFonts w:ascii="Arial" w:cs="Arial" w:eastAsia="Arial" w:hAnsi="Arial"/>
          <w:sz w:val="10"/>
          <w:szCs w:val="10"/>
          <w:color w:val="auto"/>
        </w:rPr>
        <w:t>Members and plans connected to Humana's recent Independent Care Health Plan (iCare) acquisition are being integrated into the company's systems, as such, there may be fluctuations in the value-based care distribution as the integration effort is finalized.</w:t>
      </w:r>
    </w:p>
    <w:p>
      <w:pPr>
        <w:ind w:left="540" w:right="140" w:hanging="224"/>
        <w:spacing w:after="0" w:line="225" w:lineRule="auto"/>
        <w:tabs>
          <w:tab w:leader="none" w:pos="5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In certain circumstances, the company contracts with providers to accept financial risk for a defined set of Medicare Advantage membership. In transferring this risk, the company prepays these providers a monthly fixed-fee per member to coordinate substantially all of the medical care for their Medicare Advantage members assigned or attributed to their provider panel, including some health benefit administrative functions and claims processing. For these capitated Shared Risk arrangements, the company generally agrees to payment rates that target a benefit expense ratio. The result is a high level of engagement on the part of the provider.</w:t>
      </w:r>
    </w:p>
    <w:p>
      <w:pPr>
        <w:ind w:left="540" w:right="60" w:hanging="224"/>
        <w:spacing w:after="0" w:line="225" w:lineRule="auto"/>
        <w:tabs>
          <w:tab w:leader="none" w:pos="562" w:val="left"/>
        </w:tabs>
        <w:numPr>
          <w:ilvl w:val="0"/>
          <w:numId w:val="47"/>
        </w:numPr>
        <w:rPr>
          <w:rFonts w:ascii="Arial" w:cs="Arial" w:eastAsia="Arial" w:hAnsi="Arial"/>
          <w:sz w:val="10"/>
          <w:szCs w:val="10"/>
          <w:color w:val="auto"/>
        </w:rPr>
      </w:pPr>
      <w:r>
        <w:rPr>
          <w:rFonts w:ascii="Arial" w:cs="Arial" w:eastAsia="Arial" w:hAnsi="Arial"/>
          <w:sz w:val="10"/>
          <w:szCs w:val="10"/>
          <w:color w:val="auto"/>
        </w:rPr>
        <w:t>A Path to Risk provider is one who has a high level of engagement and participates in one of Humana’s pay-for-performance programs (Model Practice or Medical Home) or has a risk contract in place with a trigger (future date or membership threshold) which has not yet been met. In addition to earning incentives, these providers may also have a shared savings component by which they can share in achieved surpluses when the actual cost of the medical services provided to patients assigned or attributed to their panel is less than the agreed upon medical expense target.</w:t>
      </w:r>
    </w:p>
    <w:p>
      <w:pPr>
        <w:ind w:left="560" w:hanging="244"/>
        <w:spacing w:after="0" w:line="225" w:lineRule="auto"/>
        <w:tabs>
          <w:tab w:leader="none" w:pos="5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Specialty per member per month is computed based on reported specialty premiums and average fully-insured specialty membership for the period. Included with specialty premiums are stop-loss ASO premiums.</w:t>
      </w:r>
    </w:p>
    <w:p>
      <w:pPr>
        <w:ind w:left="560" w:hanging="244"/>
        <w:spacing w:after="0" w:line="225" w:lineRule="auto"/>
        <w:tabs>
          <w:tab w:leader="none" w:pos="5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The amounts primarily reflect services revenues under the TRICARE East Region contract that generally are contracted on a per-member basis.</w:t>
      </w:r>
    </w:p>
    <w:p>
      <w:pPr>
        <w:ind w:left="540" w:hanging="224"/>
        <w:spacing w:after="0" w:line="225" w:lineRule="auto"/>
        <w:tabs>
          <w:tab w:leader="none" w:pos="5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Computed based on average membership for the period (i.e., monthly ending membership during the period divided by the number of months in the period).</w:t>
      </w:r>
    </w:p>
    <w:p>
      <w:pPr>
        <w:ind w:left="540" w:hanging="224"/>
        <w:spacing w:after="0" w:line="225" w:lineRule="auto"/>
        <w:tabs>
          <w:tab w:leader="none" w:pos="547" w:val="left"/>
        </w:tabs>
        <w:numPr>
          <w:ilvl w:val="0"/>
          <w:numId w:val="47"/>
        </w:numPr>
        <w:rPr>
          <w:rFonts w:ascii="Arial" w:cs="Arial" w:eastAsia="Arial" w:hAnsi="Arial"/>
          <w:sz w:val="10"/>
          <w:szCs w:val="10"/>
          <w:color w:val="auto"/>
        </w:rPr>
      </w:pPr>
      <w:r>
        <w:rPr>
          <w:rFonts w:ascii="Arial" w:cs="Arial" w:eastAsia="Arial" w:hAnsi="Arial"/>
          <w:sz w:val="10"/>
          <w:szCs w:val="10"/>
          <w:color w:val="auto"/>
        </w:rPr>
        <w:t>Includes Medicare Advantage (including Special Needs Plans (SNP)) and dual-eligible demonstration program members enrolled in one of Humana’s care programs. These members may be enrolled in Humana At Home Chronic Care Program (HCCP), Humana At Home Remote Monitoring, or an Advance Illness Support program. Members included in these programs may not be unique to each program since members have the ability to enroll in multiple programs. In addition, the members in the HCCP program may receive varying levels of care management based on their health status and needs, ranging from active care management to ongoing monitoring.</w:t>
      </w:r>
    </w:p>
    <w:p>
      <w:pPr>
        <w:jc w:val="both"/>
        <w:ind w:left="540" w:right="20" w:hanging="224"/>
        <w:spacing w:after="0" w:line="281" w:lineRule="auto"/>
        <w:tabs>
          <w:tab w:leader="none" w:pos="552" w:val="left"/>
        </w:tabs>
        <w:numPr>
          <w:ilvl w:val="0"/>
          <w:numId w:val="47"/>
        </w:numPr>
        <w:rPr>
          <w:rFonts w:ascii="Arial" w:cs="Arial" w:eastAsia="Arial" w:hAnsi="Arial"/>
          <w:sz w:val="8"/>
          <w:szCs w:val="8"/>
          <w:color w:val="auto"/>
        </w:rPr>
      </w:pPr>
      <w:r>
        <w:rPr>
          <w:rFonts w:ascii="Arial" w:cs="Arial" w:eastAsia="Arial" w:hAnsi="Arial"/>
          <w:sz w:val="8"/>
          <w:szCs w:val="8"/>
          <w:color w:val="auto"/>
        </w:rPr>
        <w:t>Reflects discharges enrolled in Humana’s 30-day care management services, which supports members after they are discharged home from a hospital or other facility. The program is aimed at individuals at high-risk for re-hospitalization. Care managers visit and call members at home to ensure they have and understand correct prescriptions, their doctors are informed about members’ changed status, and that members are either self-managing adequately or are referred to appropriate ongoing services.</w:t>
      </w:r>
    </w:p>
    <w:p>
      <w:pPr>
        <w:ind w:left="540" w:right="140" w:hanging="224"/>
        <w:spacing w:after="0" w:line="225" w:lineRule="auto"/>
        <w:tabs>
          <w:tab w:leader="none" w:pos="5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Humana's care delivery subsidiaries include Conviva, Partners in Primary Care, and Family Physicians Group. The centers, primary care providers, and patients served counts include (i) the operations of our medical center business through both employed physicians and care providers, and through third party management service organizations and professional groups with whom we contract to arrange for and manage certain clinical services, (ii) clinics and operations managed by Partners in Primary Care in connection with a strategic partnership with Welsh, Carson, Anderson &amp; Stowe, and (iii) those associated with MSO/IPA relationships with Conviva.</w:t>
      </w:r>
    </w:p>
    <w:p>
      <w:pPr>
        <w:ind w:left="540" w:hanging="224"/>
        <w:spacing w:after="0" w:line="225" w:lineRule="auto"/>
        <w:tabs>
          <w:tab w:leader="none" w:pos="5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Script volume is presented on an adjusted 30-day equivalent basis. This includes all scripts processed by the Humana pharmacy benefit manager (PBM).</w:t>
      </w:r>
    </w:p>
    <w:p>
      <w:pPr>
        <w:ind w:left="540" w:hanging="224"/>
        <w:spacing w:after="0" w:line="225" w:lineRule="auto"/>
        <w:tabs>
          <w:tab w:leader="none" w:pos="5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Represents reinsurance recoverables associated with the company’s state-based Medicaid contract in Kentucky.</w:t>
      </w:r>
    </w:p>
    <w:p>
      <w:pPr>
        <w:ind w:left="540" w:right="100" w:hanging="224"/>
        <w:spacing w:after="0" w:line="225" w:lineRule="auto"/>
        <w:tabs>
          <w:tab w:leader="none" w:pos="5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Amounts incurred related to prior years vary from previously estimated liabilities as the claims ultimately are settled. Negative amounts reported for incurred related to prior years result from claims being ultimately settled for amounts less than originally estimated (favorable development). There were no changes in the approach used to determine the company’s estimate of medical claim reserves during the quarter.</w:t>
      </w:r>
    </w:p>
    <w:p>
      <w:pPr>
        <w:ind w:left="540" w:right="200" w:hanging="224"/>
        <w:spacing w:after="0" w:line="225" w:lineRule="auto"/>
        <w:tabs>
          <w:tab w:leader="none" w:pos="554" w:val="left"/>
        </w:tabs>
        <w:numPr>
          <w:ilvl w:val="0"/>
          <w:numId w:val="47"/>
        </w:numPr>
        <w:rPr>
          <w:rFonts w:ascii="Arial" w:cs="Arial" w:eastAsia="Arial" w:hAnsi="Arial"/>
          <w:sz w:val="10"/>
          <w:szCs w:val="10"/>
          <w:color w:val="auto"/>
        </w:rPr>
      </w:pPr>
      <w:r>
        <w:rPr>
          <w:rFonts w:ascii="Arial" w:cs="Arial" w:eastAsia="Arial" w:hAnsi="Arial"/>
          <w:sz w:val="10"/>
          <w:szCs w:val="10"/>
          <w:color w:val="auto"/>
        </w:rPr>
        <w:t>A common metric for monitoring benefits payable levels relative to benefits expense is days in claims payable (DCP). The company calculates DCP using the quarterly reported benefits expense and benefits payable balances as presented within the company’s consolidated financial statements.</w:t>
      </w:r>
    </w:p>
    <w:p>
      <w:pPr>
        <w:ind w:left="540" w:right="80" w:hanging="224"/>
        <w:spacing w:after="0" w:line="225" w:lineRule="auto"/>
        <w:tabs>
          <w:tab w:leader="none" w:pos="547" w:val="left"/>
        </w:tabs>
        <w:numPr>
          <w:ilvl w:val="0"/>
          <w:numId w:val="47"/>
        </w:numPr>
        <w:rPr>
          <w:rFonts w:ascii="Arial" w:cs="Arial" w:eastAsia="Arial" w:hAnsi="Arial"/>
          <w:sz w:val="10"/>
          <w:szCs w:val="10"/>
          <w:color w:val="auto"/>
        </w:rPr>
      </w:pPr>
      <w:r>
        <w:rPr>
          <w:rFonts w:ascii="Arial" w:cs="Arial" w:eastAsia="Arial" w:hAnsi="Arial"/>
          <w:sz w:val="10"/>
          <w:szCs w:val="10"/>
          <w:color w:val="auto"/>
        </w:rPr>
        <w:t>DCP fluctuates due to a number of factors, the more significant of which are detailed in this rollforward. Growth in certain product lines can also impact DCP for the quarter since a provision for claims would not have been recorded for members that had not yet enrolled earlier in the quarter, yet those members would have a provision and corresponding medical claims reserve recorded upon enrollment later in the quarter.</w:t>
      </w:r>
    </w:p>
    <w:p>
      <w:pPr>
        <w:ind w:left="540" w:hanging="224"/>
        <w:spacing w:after="0" w:line="225" w:lineRule="auto"/>
        <w:tabs>
          <w:tab w:leader="none" w:pos="5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Provider accruals represent portions of capitation payments set aside to pay future settlements for capitated providers. Related settlements generally happen over a 12-month period.</w:t>
      </w:r>
    </w:p>
    <w:p>
      <w:pPr>
        <w:ind w:left="540" w:hanging="224"/>
        <w:spacing w:after="0" w:line="225" w:lineRule="auto"/>
        <w:tabs>
          <w:tab w:leader="none" w:pos="540" w:val="left"/>
        </w:tabs>
        <w:numPr>
          <w:ilvl w:val="0"/>
          <w:numId w:val="47"/>
        </w:numPr>
        <w:rPr>
          <w:rFonts w:ascii="Arial" w:cs="Arial" w:eastAsia="Arial" w:hAnsi="Arial"/>
          <w:sz w:val="10"/>
          <w:szCs w:val="10"/>
          <w:color w:val="auto"/>
        </w:rPr>
      </w:pPr>
      <w:r>
        <w:rPr>
          <w:rFonts w:ascii="Arial" w:cs="Arial" w:eastAsia="Arial" w:hAnsi="Arial"/>
          <w:sz w:val="10"/>
          <w:szCs w:val="10"/>
          <w:color w:val="auto"/>
        </w:rPr>
        <w:t>Represents medical and specialty claims incurred but not reported (IBNR) for non-pharmacy fully-insured products.</w:t>
      </w:r>
    </w:p>
    <w:p>
      <w:pPr>
        <w:ind w:left="540" w:right="60" w:hanging="224"/>
        <w:spacing w:after="0" w:line="225" w:lineRule="auto"/>
        <w:tabs>
          <w:tab w:leader="none" w:pos="5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Represents pharmacy claims expense including payments to the company’s pharmacy benefit manager for prescription drugs filled on behalf of Humana’s members, as well as government subsidized programs from Medicare Part D such as low income cost and reinsurance subsidies, as well as coverage gap discount programs.</w:t>
      </w:r>
    </w:p>
    <w:p>
      <w:pPr>
        <w:ind w:left="540" w:right="140" w:hanging="224"/>
        <w:spacing w:after="0" w:line="225" w:lineRule="auto"/>
        <w:tabs>
          <w:tab w:leader="none" w:pos="560" w:val="left"/>
        </w:tabs>
        <w:numPr>
          <w:ilvl w:val="0"/>
          <w:numId w:val="47"/>
        </w:numPr>
        <w:rPr>
          <w:rFonts w:ascii="Arial" w:cs="Arial" w:eastAsia="Arial" w:hAnsi="Arial"/>
          <w:sz w:val="10"/>
          <w:szCs w:val="10"/>
          <w:color w:val="auto"/>
        </w:rPr>
      </w:pPr>
      <w:r>
        <w:rPr>
          <w:rFonts w:ascii="Arial" w:cs="Arial" w:eastAsia="Arial" w:hAnsi="Arial"/>
          <w:sz w:val="10"/>
          <w:szCs w:val="10"/>
          <w:color w:val="auto"/>
        </w:rPr>
        <w:t>Includes processed claims that are in the post claim adjudication process, which consists of operating functions such as audit, check batching and check handling. These claims are included in IBNR lags, but have not yet been mailed or released from Humana.</w:t>
      </w:r>
    </w:p>
    <w:p>
      <w:pPr>
        <w:ind w:left="540" w:right="160" w:hanging="224"/>
        <w:spacing w:after="0" w:line="232" w:lineRule="auto"/>
        <w:tabs>
          <w:tab w:leader="none" w:pos="554" w:val="left"/>
        </w:tabs>
        <w:numPr>
          <w:ilvl w:val="0"/>
          <w:numId w:val="47"/>
        </w:numPr>
        <w:rPr>
          <w:rFonts w:ascii="Arial" w:cs="Arial" w:eastAsia="Arial" w:hAnsi="Arial"/>
          <w:sz w:val="10"/>
          <w:szCs w:val="10"/>
          <w:color w:val="auto"/>
        </w:rPr>
      </w:pPr>
      <w:r>
        <w:rPr>
          <w:rFonts w:ascii="Arial" w:cs="Arial" w:eastAsia="Arial" w:hAnsi="Arial"/>
          <w:sz w:val="10"/>
          <w:szCs w:val="10"/>
          <w:color w:val="auto"/>
        </w:rPr>
        <w:t>Includes non-lagged reserves such as ASO stop loss, life reserves, and accidental death and dismemberment/accident and health. Also includes an explicit provision for uncertainty (also called a provision for adverse deviation) intended to ensure the unpaid claim liabilities are adequate under moderately adverse conditions.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S-14</w:t>
      </w:r>
    </w:p>
    <w:p>
      <w:pPr>
        <w:sectPr>
          <w:pgSz w:w="11900" w:h="16838" w:orient="portrait"/>
          <w:cols w:equalWidth="0" w:num="1">
            <w:col w:w="11280"/>
          </w:cols>
          <w:pgMar w:left="300" w:top="777" w:right="319" w:bottom="1440"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2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30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3631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lvl w:ilvl="1">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lvl w:ilvl="1">
      <w:lvlJc w:val="left"/>
      <w:lvlText w:val="◦"/>
      <w:numFmt w:val="bullet"/>
      <w:start w:val="1"/>
    </w:lvl>
  </w:abstractNum>
  <w:abstractNum w:abstractNumId="22">
    <w:nsid w:val="5577F8E1"/>
    <w:multiLevelType w:val="hybridMultilevel"/>
    <w:lvl w:ilvl="0">
      <w:lvlJc w:val="left"/>
      <w:lvlText w:val="•"/>
      <w:numFmt w:val="bullet"/>
      <w:start w:val="1"/>
    </w:lvl>
    <w:lvl w:ilvl="1">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lvl w:ilvl="1">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lvl w:ilvl="1">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lvl w:ilvl="1">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lowerLetter"/>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lowerLetter"/>
      <w:start w:val="6"/>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lvl w:ilvl="1">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9"/>
    </w:lvl>
  </w:abstractNum>
  <w:abstractNum w:abstractNumId="46">
    <w:nsid w:val="6DE91B1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2021-04-28T06:15:37Z</dcterms:created>
  <dcterms:modified xsi:type="dcterms:W3CDTF">2021-04-28T06:15:37Z</dcterms:modified>
</cp:coreProperties>
</file>